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32F97" w14:textId="77777777" w:rsidR="003B2508" w:rsidRPr="003B2508" w:rsidRDefault="003B2508" w:rsidP="003E5932">
      <w:pPr>
        <w:spacing w:before="100" w:beforeAutospacing="1" w:after="100" w:afterAutospacing="1"/>
        <w:jc w:val="both"/>
        <w:rPr>
          <w:rFonts w:cs="Times New Roman"/>
          <w:lang w:eastAsia="fr-FR"/>
        </w:rPr>
      </w:pPr>
      <w:r w:rsidRPr="003B2508">
        <w:rPr>
          <w:rFonts w:cs="Times New Roman"/>
          <w:b/>
          <w:bCs/>
          <w:lang w:eastAsia="fr-FR"/>
        </w:rPr>
        <w:t xml:space="preserve">DES ECOUTES A PLUSIEURS ET COMMENT LES CONCERTER. </w:t>
      </w:r>
    </w:p>
    <w:p w14:paraId="784586DF" w14:textId="77777777" w:rsidR="003B2508" w:rsidRPr="003B2508" w:rsidRDefault="003B2508" w:rsidP="003E5932">
      <w:pPr>
        <w:spacing w:before="100" w:beforeAutospacing="1" w:after="100" w:afterAutospacing="1"/>
        <w:jc w:val="both"/>
        <w:rPr>
          <w:rFonts w:cs="Times New Roman"/>
          <w:lang w:eastAsia="fr-FR"/>
        </w:rPr>
      </w:pPr>
      <w:r w:rsidRPr="003B2508">
        <w:rPr>
          <w:rFonts w:cs="Times New Roman"/>
          <w:b/>
          <w:bCs/>
          <w:lang w:eastAsia="fr-FR"/>
        </w:rPr>
        <w:t> </w:t>
      </w:r>
    </w:p>
    <w:p w14:paraId="1E54231B" w14:textId="50F8C201" w:rsidR="003B2508" w:rsidRPr="003B2508" w:rsidRDefault="003B2508" w:rsidP="003E5932">
      <w:pPr>
        <w:spacing w:before="100" w:beforeAutospacing="1" w:after="100" w:afterAutospacing="1"/>
        <w:jc w:val="both"/>
        <w:rPr>
          <w:rFonts w:cs="Times New Roman"/>
          <w:lang w:eastAsia="fr-FR"/>
        </w:rPr>
      </w:pPr>
      <w:r w:rsidRPr="003B2508">
        <w:rPr>
          <w:rFonts w:cs="Times New Roman"/>
          <w:lang w:eastAsia="fr-FR"/>
        </w:rPr>
        <w:t xml:space="preserve">Dans certaines situations de l’espace public, il arrive que de l’écoute </w:t>
      </w:r>
      <w:r>
        <w:rPr>
          <w:rFonts w:cs="Times New Roman"/>
          <w:lang w:eastAsia="fr-FR"/>
        </w:rPr>
        <w:t>(</w:t>
      </w:r>
      <w:r w:rsidRPr="003B2508">
        <w:rPr>
          <w:rFonts w:cs="Times New Roman"/>
          <w:highlight w:val="yellow"/>
          <w:lang w:eastAsia="fr-FR"/>
        </w:rPr>
        <w:t>collective)</w:t>
      </w:r>
      <w:r>
        <w:rPr>
          <w:rFonts w:cs="Times New Roman"/>
          <w:lang w:eastAsia="fr-FR"/>
        </w:rPr>
        <w:t xml:space="preserve"> </w:t>
      </w:r>
      <w:r w:rsidRPr="003B2508">
        <w:rPr>
          <w:rFonts w:cs="Times New Roman"/>
          <w:lang w:eastAsia="fr-FR"/>
        </w:rPr>
        <w:t>arrive. Prenons la situation de la fête d’un village</w:t>
      </w:r>
      <w:r w:rsidRPr="003B2508">
        <w:rPr>
          <w:rStyle w:val="Marquenotebasdepage"/>
          <w:rFonts w:cs="Times New Roman"/>
          <w:highlight w:val="yellow"/>
          <w:lang w:eastAsia="fr-FR"/>
        </w:rPr>
        <w:footnoteReference w:id="1"/>
      </w:r>
      <w:r w:rsidRPr="003B2508">
        <w:rPr>
          <w:rFonts w:cs="Times New Roman"/>
          <w:lang w:eastAsia="fr-FR"/>
        </w:rPr>
        <w:t xml:space="preserve"> pour célébrer un saint</w:t>
      </w:r>
      <w:r w:rsidR="0045300C">
        <w:rPr>
          <w:rStyle w:val="Marquenotebasdepage"/>
          <w:rFonts w:cs="Times New Roman"/>
          <w:lang w:eastAsia="fr-FR"/>
        </w:rPr>
        <w:footnoteReference w:id="2"/>
      </w:r>
      <w:r w:rsidRPr="003B2508">
        <w:rPr>
          <w:rFonts w:cs="Times New Roman"/>
          <w:lang w:eastAsia="fr-FR"/>
        </w:rPr>
        <w:t>, l’été, dans le sud de l’Italie, avec sa composante d’événement musical dédié; l’événement se déroule sur la place du village, autour d’un kiosque à musique, où l’orchestre à vents du conservatoire de Bari jouera trois jours durant.</w:t>
      </w:r>
    </w:p>
    <w:p w14:paraId="1CD393A9" w14:textId="7C35922C" w:rsidR="003B2508" w:rsidRPr="003B2508" w:rsidRDefault="003B2508" w:rsidP="003E5932">
      <w:pPr>
        <w:spacing w:before="100" w:beforeAutospacing="1" w:after="100" w:afterAutospacing="1"/>
        <w:jc w:val="both"/>
        <w:rPr>
          <w:rFonts w:cs="Times New Roman"/>
          <w:lang w:eastAsia="fr-FR"/>
        </w:rPr>
      </w:pPr>
      <w:r w:rsidRPr="003B2508">
        <w:rPr>
          <w:rFonts w:cs="Times New Roman"/>
          <w:lang w:eastAsia="fr-FR"/>
        </w:rPr>
        <w:t xml:space="preserve">Le motif central de la présentation sera de saisir comment de l’écoute prend place, dans un espace public, en étant attentif au fait que – dans les conditions de la situation observée, </w:t>
      </w:r>
      <w:r w:rsidRPr="003B2508">
        <w:rPr>
          <w:rFonts w:cs="Times New Roman"/>
          <w:bCs/>
          <w:lang w:eastAsia="fr-FR"/>
        </w:rPr>
        <w:t>cet</w:t>
      </w:r>
      <w:r w:rsidR="0045300C">
        <w:rPr>
          <w:rFonts w:cs="Times New Roman"/>
          <w:bCs/>
          <w:lang w:eastAsia="fr-FR"/>
        </w:rPr>
        <w:t>te écoute pour prendre place</w:t>
      </w:r>
      <w:r w:rsidRPr="003B2508">
        <w:rPr>
          <w:rFonts w:cs="Times New Roman"/>
          <w:bCs/>
          <w:lang w:eastAsia="fr-FR"/>
        </w:rPr>
        <w:t xml:space="preserve">, prend aussi la place d’autres engagements pratiques. En d’autres termes, en se logeant plus intensément dans le son, </w:t>
      </w:r>
      <w:r w:rsidRPr="003B2508">
        <w:rPr>
          <w:rFonts w:cs="Times New Roman"/>
          <w:bCs/>
          <w:highlight w:val="yellow"/>
          <w:lang w:eastAsia="fr-FR"/>
        </w:rPr>
        <w:t>se</w:t>
      </w:r>
      <w:r w:rsidRPr="003B2508">
        <w:rPr>
          <w:rFonts w:cs="Times New Roman"/>
          <w:bCs/>
          <w:lang w:eastAsia="fr-FR"/>
        </w:rPr>
        <w:t xml:space="preserve"> déloge-t-on d’autres univers de plongement sensibles ?</w:t>
      </w:r>
      <w:bookmarkStart w:id="0" w:name="_GoBack"/>
      <w:bookmarkEnd w:id="0"/>
    </w:p>
    <w:p w14:paraId="7BD46D7E" w14:textId="65982811" w:rsidR="003B2508" w:rsidRPr="003B2508" w:rsidRDefault="003B2508" w:rsidP="003E5932">
      <w:pPr>
        <w:spacing w:before="100" w:beforeAutospacing="1" w:after="100" w:afterAutospacing="1"/>
        <w:jc w:val="both"/>
        <w:rPr>
          <w:rFonts w:cs="Times New Roman"/>
          <w:lang w:eastAsia="fr-FR"/>
        </w:rPr>
      </w:pPr>
      <w:r w:rsidRPr="003B2508">
        <w:rPr>
          <w:rFonts w:cs="Times New Roman"/>
          <w:highlight w:val="yellow"/>
          <w:lang w:eastAsia="fr-FR"/>
        </w:rPr>
        <w:t>Le</w:t>
      </w:r>
      <w:r w:rsidRPr="003B2508">
        <w:rPr>
          <w:rFonts w:cs="Times New Roman"/>
          <w:lang w:eastAsia="fr-FR"/>
        </w:rPr>
        <w:t xml:space="preserve"> propos, de nature conceptuelle – et exploratoire –, sera de rendre problématique, dès lors que l’on place l’écoute en « site impropre, ou mixte», une </w:t>
      </w:r>
      <w:r w:rsidRPr="003B2508">
        <w:rPr>
          <w:rFonts w:cs="Times New Roman"/>
          <w:bCs/>
          <w:lang w:eastAsia="fr-FR"/>
        </w:rPr>
        <w:t>opposition tranchée</w:t>
      </w:r>
      <w:r w:rsidRPr="003B2508">
        <w:rPr>
          <w:rFonts w:cs="Times New Roman"/>
          <w:lang w:eastAsia="fr-FR"/>
        </w:rPr>
        <w:t xml:space="preserve"> entre des engagements interactionnels, que l’on placerait sous le signe de l’action, et des engagements en « écoute » placés</w:t>
      </w:r>
      <w:r w:rsidR="00490F3B">
        <w:rPr>
          <w:rFonts w:cs="Times New Roman"/>
          <w:lang w:eastAsia="fr-FR"/>
        </w:rPr>
        <w:t>, eux,</w:t>
      </w:r>
      <w:r w:rsidRPr="003B2508">
        <w:rPr>
          <w:rFonts w:cs="Times New Roman"/>
          <w:lang w:eastAsia="fr-FR"/>
        </w:rPr>
        <w:t xml:space="preserve"> sous le signe de la réception pure, </w:t>
      </w:r>
      <w:r w:rsidR="00974987">
        <w:rPr>
          <w:rFonts w:cs="Times New Roman"/>
          <w:lang w:eastAsia="fr-FR"/>
        </w:rPr>
        <w:t xml:space="preserve">sinon de la contemplation. De </w:t>
      </w:r>
      <w:r w:rsidR="00974987" w:rsidRPr="00974987">
        <w:rPr>
          <w:rFonts w:cs="Times New Roman"/>
          <w:highlight w:val="yellow"/>
          <w:lang w:eastAsia="fr-FR"/>
        </w:rPr>
        <w:t>s’</w:t>
      </w:r>
      <w:r w:rsidRPr="003B2508">
        <w:rPr>
          <w:rFonts w:cs="Times New Roman"/>
          <w:lang w:eastAsia="fr-FR"/>
        </w:rPr>
        <w:t>en prendre, « </w:t>
      </w:r>
      <w:proofErr w:type="spellStart"/>
      <w:r w:rsidRPr="003B2508">
        <w:rPr>
          <w:rFonts w:cs="Times New Roman"/>
          <w:lang w:eastAsia="fr-FR"/>
        </w:rPr>
        <w:t>so</w:t>
      </w:r>
      <w:proofErr w:type="spellEnd"/>
      <w:r w:rsidRPr="003B2508">
        <w:rPr>
          <w:rFonts w:cs="Times New Roman"/>
          <w:lang w:eastAsia="fr-FR"/>
        </w:rPr>
        <w:t xml:space="preserve"> to </w:t>
      </w:r>
      <w:proofErr w:type="spellStart"/>
      <w:r w:rsidRPr="003B2508">
        <w:rPr>
          <w:rFonts w:cs="Times New Roman"/>
          <w:lang w:eastAsia="fr-FR"/>
        </w:rPr>
        <w:t>speak</w:t>
      </w:r>
      <w:proofErr w:type="spellEnd"/>
      <w:r w:rsidRPr="003B2508">
        <w:rPr>
          <w:rFonts w:cs="Times New Roman"/>
          <w:lang w:eastAsia="fr-FR"/>
        </w:rPr>
        <w:t xml:space="preserve"> », à une </w:t>
      </w:r>
      <w:r w:rsidRPr="003B2508">
        <w:rPr>
          <w:rFonts w:cs="Times New Roman"/>
          <w:bCs/>
          <w:lang w:eastAsia="fr-FR"/>
        </w:rPr>
        <w:t xml:space="preserve">conception activiste de l’interaction et </w:t>
      </w:r>
      <w:proofErr w:type="spellStart"/>
      <w:r w:rsidRPr="003B2508">
        <w:rPr>
          <w:rFonts w:cs="Times New Roman"/>
          <w:bCs/>
          <w:lang w:eastAsia="fr-FR"/>
        </w:rPr>
        <w:t>passiviste</w:t>
      </w:r>
      <w:proofErr w:type="spellEnd"/>
      <w:r w:rsidRPr="003B2508">
        <w:rPr>
          <w:rFonts w:cs="Times New Roman"/>
          <w:bCs/>
          <w:lang w:eastAsia="fr-FR"/>
        </w:rPr>
        <w:t xml:space="preserve"> de la réception</w:t>
      </w:r>
      <w:r w:rsidRPr="003B2508">
        <w:rPr>
          <w:rFonts w:cs="Times New Roman"/>
          <w:lang w:eastAsia="fr-FR"/>
        </w:rPr>
        <w:t xml:space="preserve">. J’irai ainsi à la rencontre de Pauline </w:t>
      </w:r>
      <w:proofErr w:type="spellStart"/>
      <w:r w:rsidRPr="003B2508">
        <w:rPr>
          <w:rFonts w:cs="Times New Roman"/>
          <w:lang w:eastAsia="fr-FR"/>
        </w:rPr>
        <w:t>Oliveiros</w:t>
      </w:r>
      <w:proofErr w:type="spellEnd"/>
      <w:r w:rsidRPr="003B2508">
        <w:rPr>
          <w:rFonts w:cs="Times New Roman"/>
          <w:lang w:eastAsia="fr-FR"/>
        </w:rPr>
        <w:t xml:space="preserve"> et Bill Fontana, qui ont su rendre sa part d’activité à l’écoute ; de mon côté j’essaierai de rendre sa part de passivité ou de patience aux domaines des interactions ordinaires.</w:t>
      </w:r>
    </w:p>
    <w:p w14:paraId="2E359CCB" w14:textId="77777777" w:rsidR="0045300C" w:rsidRDefault="0045300C" w:rsidP="003E5932">
      <w:pPr>
        <w:spacing w:before="100" w:beforeAutospacing="1" w:after="100" w:afterAutospacing="1"/>
        <w:jc w:val="both"/>
        <w:rPr>
          <w:rFonts w:cs="Times New Roman"/>
          <w:lang w:eastAsia="fr-FR"/>
        </w:rPr>
      </w:pPr>
    </w:p>
    <w:p w14:paraId="297BE7D0" w14:textId="2AF8FB32" w:rsidR="003B2508" w:rsidRDefault="003B2508" w:rsidP="003E5932">
      <w:pPr>
        <w:spacing w:before="100" w:beforeAutospacing="1" w:after="100" w:afterAutospacing="1"/>
        <w:jc w:val="both"/>
        <w:rPr>
          <w:rFonts w:cs="Times New Roman"/>
          <w:lang w:eastAsia="fr-FR"/>
        </w:rPr>
      </w:pPr>
      <w:r w:rsidRPr="003B2508">
        <w:rPr>
          <w:rFonts w:cs="Times New Roman"/>
          <w:lang w:eastAsia="fr-FR"/>
        </w:rPr>
        <w:t>Certaines approches sociologiques des interactions, et notamment en espace public, nous ont appris à prélever des concepts, des caté</w:t>
      </w:r>
      <w:r w:rsidR="003C7F41">
        <w:rPr>
          <w:rFonts w:cs="Times New Roman"/>
          <w:lang w:eastAsia="fr-FR"/>
        </w:rPr>
        <w:t>gories, des outils d’analyse permetta</w:t>
      </w:r>
      <w:r w:rsidRPr="003B2508">
        <w:rPr>
          <w:rFonts w:cs="Times New Roman"/>
          <w:lang w:eastAsia="fr-FR"/>
        </w:rPr>
        <w:t>nt de mieux articuler les composantes actives et passives des int</w:t>
      </w:r>
      <w:r>
        <w:rPr>
          <w:rFonts w:cs="Times New Roman"/>
          <w:lang w:eastAsia="fr-FR"/>
        </w:rPr>
        <w:t xml:space="preserve">eractions ; </w:t>
      </w:r>
      <w:r w:rsidRPr="003B2508">
        <w:rPr>
          <w:rFonts w:cs="Times New Roman"/>
          <w:highlight w:val="yellow"/>
          <w:lang w:eastAsia="fr-FR"/>
        </w:rPr>
        <w:t>de</w:t>
      </w:r>
      <w:r w:rsidRPr="003B2508">
        <w:rPr>
          <w:rFonts w:cs="Times New Roman"/>
          <w:lang w:eastAsia="fr-FR"/>
        </w:rPr>
        <w:t xml:space="preserve"> lier notamment « l’attention focale sur une action en cours » et le sens d’inscription dans un univers plus large qu’on dira « résonant ».</w:t>
      </w:r>
      <w:r w:rsidR="001B51A7">
        <w:rPr>
          <w:rFonts w:cs="Times New Roman"/>
          <w:lang w:eastAsia="fr-FR"/>
        </w:rPr>
        <w:t xml:space="preserve"> </w:t>
      </w:r>
      <w:r w:rsidR="00974987">
        <w:rPr>
          <w:rFonts w:cs="Times New Roman"/>
          <w:lang w:eastAsia="fr-FR"/>
        </w:rPr>
        <w:t>T</w:t>
      </w:r>
      <w:r w:rsidRPr="003B2508">
        <w:rPr>
          <w:rFonts w:cs="Times New Roman"/>
          <w:lang w:eastAsia="fr-FR"/>
        </w:rPr>
        <w:t>rois jeux de concepts – trois démarcations conceptuelles –</w:t>
      </w:r>
      <w:r>
        <w:rPr>
          <w:rFonts w:cs="Times New Roman"/>
          <w:lang w:eastAsia="fr-FR"/>
        </w:rPr>
        <w:t xml:space="preserve"> </w:t>
      </w:r>
      <w:r w:rsidRPr="003B2508">
        <w:rPr>
          <w:rFonts w:cs="Times New Roman"/>
          <w:lang w:eastAsia="fr-FR"/>
        </w:rPr>
        <w:t xml:space="preserve">viennent à l’esprit ; </w:t>
      </w:r>
      <w:r>
        <w:rPr>
          <w:rFonts w:cs="Times New Roman"/>
          <w:lang w:eastAsia="fr-FR"/>
        </w:rPr>
        <w:t>et l’on rappellera par provision (et pour citer Gil</w:t>
      </w:r>
      <w:r w:rsidRPr="003B2508">
        <w:rPr>
          <w:rFonts w:cs="Times New Roman"/>
          <w:lang w:eastAsia="fr-FR"/>
        </w:rPr>
        <w:t>le</w:t>
      </w:r>
      <w:r>
        <w:rPr>
          <w:rFonts w:cs="Times New Roman"/>
          <w:lang w:eastAsia="fr-FR"/>
        </w:rPr>
        <w:t>s Deleuze) que le</w:t>
      </w:r>
      <w:r w:rsidRPr="003B2508">
        <w:rPr>
          <w:rFonts w:cs="Times New Roman"/>
          <w:lang w:eastAsia="fr-FR"/>
        </w:rPr>
        <w:t xml:space="preserve"> travail du concept</w:t>
      </w:r>
      <w:r>
        <w:rPr>
          <w:rFonts w:cs="Times New Roman"/>
          <w:lang w:eastAsia="fr-FR"/>
        </w:rPr>
        <w:t xml:space="preserve"> consiste souvent à</w:t>
      </w:r>
      <w:r w:rsidRPr="003B2508">
        <w:rPr>
          <w:rFonts w:cs="Times New Roman"/>
          <w:lang w:eastAsia="fr-FR"/>
        </w:rPr>
        <w:t xml:space="preserve"> faire passer une différence là où l’on n’</w:t>
      </w:r>
      <w:r>
        <w:rPr>
          <w:rFonts w:cs="Times New Roman"/>
          <w:lang w:eastAsia="fr-FR"/>
        </w:rPr>
        <w:t>en voyait pas</w:t>
      </w:r>
      <w:r w:rsidRPr="003B2508">
        <w:rPr>
          <w:rFonts w:cs="Times New Roman"/>
          <w:lang w:eastAsia="fr-FR"/>
        </w:rPr>
        <w:t xml:space="preserve"> et</w:t>
      </w:r>
      <w:r>
        <w:rPr>
          <w:rFonts w:cs="Times New Roman"/>
          <w:lang w:eastAsia="fr-FR"/>
        </w:rPr>
        <w:t>,</w:t>
      </w:r>
      <w:r w:rsidRPr="003B2508">
        <w:rPr>
          <w:rFonts w:cs="Times New Roman"/>
          <w:lang w:eastAsia="fr-FR"/>
        </w:rPr>
        <w:t xml:space="preserve"> </w:t>
      </w:r>
      <w:r>
        <w:rPr>
          <w:rFonts w:cs="Times New Roman"/>
          <w:lang w:eastAsia="fr-FR"/>
        </w:rPr>
        <w:t>à</w:t>
      </w:r>
      <w:r w:rsidRPr="003B2508">
        <w:rPr>
          <w:rFonts w:cs="Times New Roman"/>
          <w:lang w:eastAsia="fr-FR"/>
        </w:rPr>
        <w:t xml:space="preserve"> </w:t>
      </w:r>
      <w:r>
        <w:rPr>
          <w:rFonts w:cs="Times New Roman"/>
          <w:lang w:eastAsia="fr-FR"/>
        </w:rPr>
        <w:t>l’inverse,</w:t>
      </w:r>
      <w:r w:rsidRPr="003B2508">
        <w:rPr>
          <w:rFonts w:cs="Times New Roman"/>
          <w:lang w:eastAsia="fr-FR"/>
        </w:rPr>
        <w:t xml:space="preserve"> </w:t>
      </w:r>
      <w:r>
        <w:rPr>
          <w:rFonts w:cs="Times New Roman"/>
          <w:lang w:eastAsia="fr-FR"/>
        </w:rPr>
        <w:t xml:space="preserve">à déceler </w:t>
      </w:r>
      <w:r w:rsidRPr="003B2508">
        <w:rPr>
          <w:rFonts w:cs="Times New Roman"/>
          <w:lang w:eastAsia="fr-FR"/>
        </w:rPr>
        <w:t>des continuités sous jacentes là où l’on voyait des lignes de séparation.</w:t>
      </w:r>
    </w:p>
    <w:p w14:paraId="1178EFCE" w14:textId="77777777" w:rsidR="00974987" w:rsidRPr="00974987" w:rsidRDefault="00974987" w:rsidP="003E5932">
      <w:pPr>
        <w:spacing w:before="100" w:beforeAutospacing="1" w:after="100" w:afterAutospacing="1"/>
        <w:jc w:val="both"/>
        <w:rPr>
          <w:rFonts w:cs="Times New Roman"/>
          <w:b/>
          <w:lang w:eastAsia="fr-FR"/>
        </w:rPr>
      </w:pPr>
      <w:r w:rsidRPr="00974987">
        <w:rPr>
          <w:rFonts w:cs="Times New Roman"/>
          <w:b/>
          <w:lang w:eastAsia="fr-FR"/>
        </w:rPr>
        <w:t>Co présents, mais encore ?</w:t>
      </w:r>
    </w:p>
    <w:p w14:paraId="6794721F" w14:textId="77777777" w:rsidR="003B2508" w:rsidRPr="003B2508" w:rsidRDefault="00974987" w:rsidP="003E5932">
      <w:pPr>
        <w:spacing w:before="100" w:beforeAutospacing="1" w:after="100" w:afterAutospacing="1"/>
        <w:jc w:val="both"/>
        <w:rPr>
          <w:rFonts w:cs="Times New Roman"/>
          <w:lang w:eastAsia="fr-FR"/>
        </w:rPr>
      </w:pPr>
      <w:r>
        <w:rPr>
          <w:rFonts w:cs="Times New Roman"/>
          <w:lang w:eastAsia="fr-FR"/>
        </w:rPr>
        <w:tab/>
      </w:r>
      <w:r w:rsidR="003B2508" w:rsidRPr="003B2508">
        <w:rPr>
          <w:rFonts w:cs="Times New Roman"/>
          <w:lang w:eastAsia="fr-FR"/>
        </w:rPr>
        <w:t xml:space="preserve">La première différence que l’on peut « faire passer là où l’on n’en voyait pas » a trait à la dimension temporelle des interactions. Les engagements d’espace public consistent en général en une nébuleuse d’engagements de personnes, faisant coexister des engagements solitaires, et d’autres qui concernent des petits collectifs. Et parfois des grands collectifs (parades, manifestations). Une fois que l’on a dit coexister, ou bien exister en même temps, on n’a cependant pas tout dit. Il semble utile de distinguer deux manières pour ces engagements entre </w:t>
      </w:r>
      <w:proofErr w:type="spellStart"/>
      <w:r w:rsidR="003B2508" w:rsidRPr="003B2508">
        <w:rPr>
          <w:rFonts w:cs="Times New Roman"/>
          <w:lang w:eastAsia="fr-FR"/>
        </w:rPr>
        <w:t>co</w:t>
      </w:r>
      <w:proofErr w:type="spellEnd"/>
      <w:r w:rsidR="003B2508" w:rsidRPr="003B2508">
        <w:rPr>
          <w:rFonts w:cs="Times New Roman"/>
          <w:lang w:eastAsia="fr-FR"/>
        </w:rPr>
        <w:t xml:space="preserve"> présents d</w:t>
      </w:r>
      <w:r w:rsidR="003C7F41">
        <w:rPr>
          <w:rFonts w:cs="Times New Roman"/>
          <w:lang w:eastAsia="fr-FR"/>
        </w:rPr>
        <w:t>’être « en même temps ». On</w:t>
      </w:r>
      <w:r w:rsidR="003B2508" w:rsidRPr="003B2508">
        <w:rPr>
          <w:rFonts w:cs="Times New Roman"/>
          <w:lang w:eastAsia="fr-FR"/>
        </w:rPr>
        <w:t xml:space="preserve"> parler</w:t>
      </w:r>
      <w:r w:rsidR="003C7F41">
        <w:rPr>
          <w:rFonts w:cs="Times New Roman"/>
          <w:lang w:eastAsia="fr-FR"/>
        </w:rPr>
        <w:t>a</w:t>
      </w:r>
      <w:r w:rsidR="003B2508" w:rsidRPr="003B2508">
        <w:rPr>
          <w:rFonts w:cs="Times New Roman"/>
          <w:lang w:eastAsia="fr-FR"/>
        </w:rPr>
        <w:t xml:space="preserve"> </w:t>
      </w:r>
      <w:r w:rsidR="003B2508" w:rsidRPr="003B2508">
        <w:rPr>
          <w:rFonts w:cs="Times New Roman"/>
          <w:lang w:eastAsia="fr-FR"/>
        </w:rPr>
        <w:lastRenderedPageBreak/>
        <w:t xml:space="preserve">d’un coté d’engagements </w:t>
      </w:r>
      <w:r w:rsidR="003B2508" w:rsidRPr="003B2508">
        <w:rPr>
          <w:rFonts w:cs="Times New Roman"/>
          <w:b/>
          <w:bCs/>
          <w:lang w:eastAsia="fr-FR"/>
        </w:rPr>
        <w:t>simultanés</w:t>
      </w:r>
      <w:r w:rsidR="003B2508" w:rsidRPr="003B2508">
        <w:rPr>
          <w:rFonts w:cs="Times New Roman"/>
          <w:lang w:eastAsia="fr-FR"/>
        </w:rPr>
        <w:t xml:space="preserve"> et de l’autre</w:t>
      </w:r>
      <w:r w:rsidR="003C7F41">
        <w:rPr>
          <w:rFonts w:cs="Times New Roman"/>
          <w:lang w:eastAsia="fr-FR"/>
        </w:rPr>
        <w:t xml:space="preserve"> d’engagements </w:t>
      </w:r>
      <w:r w:rsidR="003B2508" w:rsidRPr="003B2508">
        <w:rPr>
          <w:rFonts w:cs="Times New Roman"/>
          <w:b/>
          <w:bCs/>
          <w:lang w:eastAsia="fr-FR"/>
        </w:rPr>
        <w:t>contemporains</w:t>
      </w:r>
      <w:r w:rsidR="003B2508" w:rsidRPr="003B2508">
        <w:rPr>
          <w:rFonts w:cs="Times New Roman"/>
          <w:lang w:eastAsia="fr-FR"/>
        </w:rPr>
        <w:t>. Par engagements simultanés, on désignera des engagements qui n’ont rien à voir les uns avec les autres, sauf qu’ils se passent dans un même lieu et au même instant. Les foules urbaines en multiplient les exem</w:t>
      </w:r>
      <w:r>
        <w:rPr>
          <w:rFonts w:cs="Times New Roman"/>
          <w:lang w:eastAsia="fr-FR"/>
        </w:rPr>
        <w:t xml:space="preserve">ples. En contraste avec ceci, on </w:t>
      </w:r>
      <w:r w:rsidRPr="00974987">
        <w:rPr>
          <w:rFonts w:cs="Times New Roman"/>
          <w:highlight w:val="yellow"/>
          <w:lang w:eastAsia="fr-FR"/>
        </w:rPr>
        <w:t>propose</w:t>
      </w:r>
      <w:r w:rsidR="003B2508" w:rsidRPr="003B2508">
        <w:rPr>
          <w:rFonts w:cs="Times New Roman"/>
          <w:lang w:eastAsia="fr-FR"/>
        </w:rPr>
        <w:t xml:space="preserve"> que des individus peuvent devenir les contemporains les uns des autres, mais pour autant qu’ils suivent une même histoire, ou assistent au </w:t>
      </w:r>
      <w:r w:rsidR="003B2508" w:rsidRPr="00974987">
        <w:rPr>
          <w:rFonts w:cs="Times New Roman"/>
          <w:bCs/>
          <w:lang w:eastAsia="fr-FR"/>
        </w:rPr>
        <w:t>développement d’un même cours d’action</w:t>
      </w:r>
      <w:r w:rsidR="003B2508" w:rsidRPr="003B2508">
        <w:rPr>
          <w:rFonts w:cs="Times New Roman"/>
          <w:lang w:eastAsia="fr-FR"/>
        </w:rPr>
        <w:t xml:space="preserve"> (ils entrent alors dans une temporalité relativement unificatrice  – se mettant en quelque sorte « au diapason » de quelque chose qui se passe). Dans les foules qui pérégrinent dans les espaces centraux des villes, on trouvera ainsi moult micro groupes en conversation – au moins </w:t>
      </w:r>
      <w:r w:rsidR="003B2508" w:rsidRPr="003C7F41">
        <w:rPr>
          <w:rFonts w:cs="Times New Roman"/>
          <w:bCs/>
          <w:lang w:eastAsia="fr-FR"/>
        </w:rPr>
        <w:t>contemporains</w:t>
      </w:r>
      <w:r w:rsidR="003B2508" w:rsidRPr="003B2508">
        <w:rPr>
          <w:rFonts w:cs="Times New Roman"/>
          <w:b/>
          <w:bCs/>
          <w:lang w:eastAsia="fr-FR"/>
        </w:rPr>
        <w:t xml:space="preserve"> </w:t>
      </w:r>
      <w:r w:rsidR="003B2508" w:rsidRPr="003B2508">
        <w:rPr>
          <w:rFonts w:cs="Times New Roman"/>
          <w:lang w:eastAsia="fr-FR"/>
        </w:rPr>
        <w:t>de l’avancée d’une conversation particulière, par exemple</w:t>
      </w:r>
      <w:r w:rsidR="003B2508" w:rsidRPr="003B2508">
        <w:rPr>
          <w:rStyle w:val="Marquenotebasdepage"/>
          <w:rFonts w:cs="Times New Roman"/>
          <w:lang w:eastAsia="fr-FR"/>
        </w:rPr>
        <w:footnoteReference w:id="3"/>
      </w:r>
      <w:r w:rsidR="003B2508" w:rsidRPr="003B2508">
        <w:rPr>
          <w:rFonts w:cs="Times New Roman"/>
          <w:lang w:eastAsia="fr-FR"/>
        </w:rPr>
        <w:t xml:space="preserve">. Mais il peut arriver aussi que se produisent des événements notables qui </w:t>
      </w:r>
      <w:r w:rsidR="003B2508" w:rsidRPr="003C7F41">
        <w:rPr>
          <w:rFonts w:cs="Times New Roman"/>
          <w:highlight w:val="yellow"/>
          <w:lang w:eastAsia="fr-FR"/>
        </w:rPr>
        <w:t>v</w:t>
      </w:r>
      <w:r w:rsidR="003C7F41" w:rsidRPr="003C7F41">
        <w:rPr>
          <w:rFonts w:cs="Times New Roman"/>
          <w:highlight w:val="yellow"/>
          <w:lang w:eastAsia="fr-FR"/>
        </w:rPr>
        <w:t>iendr</w:t>
      </w:r>
      <w:r w:rsidR="003B2508" w:rsidRPr="003C7F41">
        <w:rPr>
          <w:rFonts w:cs="Times New Roman"/>
          <w:highlight w:val="yellow"/>
          <w:lang w:eastAsia="fr-FR"/>
        </w:rPr>
        <w:t>ont</w:t>
      </w:r>
      <w:r w:rsidR="003B2508" w:rsidRPr="003B2508">
        <w:rPr>
          <w:rFonts w:cs="Times New Roman"/>
          <w:lang w:eastAsia="fr-FR"/>
        </w:rPr>
        <w:t xml:space="preserve"> prélever dans les présents autant de témoins de la même chose ! On pourrait alors parler de l’émergence d’une audience et d’une communauté de témoins : en un mot, d’un </w:t>
      </w:r>
      <w:r w:rsidR="003C7F41">
        <w:rPr>
          <w:rFonts w:cs="Times New Roman"/>
          <w:lang w:eastAsia="fr-FR"/>
        </w:rPr>
        <w:t>« </w:t>
      </w:r>
      <w:r w:rsidR="003B2508" w:rsidRPr="003B2508">
        <w:rPr>
          <w:rFonts w:cs="Times New Roman"/>
          <w:lang w:eastAsia="fr-FR"/>
        </w:rPr>
        <w:t>public</w:t>
      </w:r>
      <w:r w:rsidR="003C7F41">
        <w:rPr>
          <w:rFonts w:cs="Times New Roman"/>
          <w:lang w:eastAsia="fr-FR"/>
        </w:rPr>
        <w:t> »</w:t>
      </w:r>
      <w:r w:rsidR="003B2508" w:rsidRPr="003B2508">
        <w:rPr>
          <w:rFonts w:cs="Times New Roman"/>
          <w:lang w:eastAsia="fr-FR"/>
        </w:rPr>
        <w:t xml:space="preserve">, </w:t>
      </w:r>
      <w:r w:rsidR="003C7F41">
        <w:rPr>
          <w:rFonts w:cs="Times New Roman"/>
          <w:lang w:eastAsia="fr-FR"/>
        </w:rPr>
        <w:t xml:space="preserve">c’est à dire </w:t>
      </w:r>
      <w:r w:rsidR="003B2508" w:rsidRPr="003B2508">
        <w:rPr>
          <w:rFonts w:cs="Times New Roman"/>
          <w:lang w:eastAsia="fr-FR"/>
        </w:rPr>
        <w:t>d’une communauté de lecteurs de la situation</w:t>
      </w:r>
      <w:r w:rsidR="003B2508" w:rsidRPr="003B2508">
        <w:rPr>
          <w:rStyle w:val="Marquenotebasdepage"/>
          <w:rFonts w:cs="Times New Roman"/>
          <w:lang w:eastAsia="fr-FR"/>
        </w:rPr>
        <w:footnoteReference w:id="4"/>
      </w:r>
      <w:r w:rsidR="003B2508" w:rsidRPr="003B2508">
        <w:rPr>
          <w:rFonts w:cs="Times New Roman"/>
          <w:lang w:eastAsia="fr-FR"/>
        </w:rPr>
        <w:t xml:space="preserve">. </w:t>
      </w:r>
    </w:p>
    <w:p w14:paraId="44EB099F" w14:textId="77777777" w:rsidR="003B2508" w:rsidRDefault="003B2508" w:rsidP="003E5932">
      <w:pPr>
        <w:spacing w:before="100" w:beforeAutospacing="1" w:after="100" w:afterAutospacing="1"/>
        <w:jc w:val="both"/>
        <w:rPr>
          <w:rFonts w:cs="Times New Roman"/>
          <w:lang w:eastAsia="fr-FR"/>
        </w:rPr>
      </w:pPr>
      <w:r w:rsidRPr="003B2508">
        <w:rPr>
          <w:rFonts w:cs="Times New Roman"/>
          <w:lang w:eastAsia="fr-FR"/>
        </w:rPr>
        <w:t>En contraste avec ce premier effet conceptuel, on peut, symétriquement, faire apparaître des continuités sous jacentes entre des ordres réputés différents, ceci en mobilisant les ressources conceptuelles de deux auteurs, un anthropologue écossais et un sociologue américain.</w:t>
      </w:r>
    </w:p>
    <w:p w14:paraId="07DCE3FE" w14:textId="77777777" w:rsidR="004C79F5" w:rsidRDefault="004C79F5" w:rsidP="003E5932">
      <w:pPr>
        <w:jc w:val="both"/>
      </w:pPr>
      <w:r w:rsidRPr="002B7032">
        <w:rPr>
          <w:b/>
        </w:rPr>
        <w:t>« </w:t>
      </w:r>
      <w:proofErr w:type="spellStart"/>
      <w:r w:rsidRPr="002B7032">
        <w:rPr>
          <w:b/>
        </w:rPr>
        <w:t>Task</w:t>
      </w:r>
      <w:proofErr w:type="spellEnd"/>
      <w:r w:rsidRPr="002B7032">
        <w:rPr>
          <w:b/>
        </w:rPr>
        <w:t xml:space="preserve"> s</w:t>
      </w:r>
      <w:r>
        <w:rPr>
          <w:b/>
        </w:rPr>
        <w:t>cape » : un concept passerell</w:t>
      </w:r>
      <w:r w:rsidRPr="002B7032">
        <w:rPr>
          <w:b/>
        </w:rPr>
        <w:t>e</w:t>
      </w:r>
      <w:r>
        <w:t>.</w:t>
      </w:r>
    </w:p>
    <w:p w14:paraId="402348D6" w14:textId="705716CA" w:rsidR="004C79F5" w:rsidRPr="00455C76" w:rsidRDefault="004C79F5" w:rsidP="003E5932">
      <w:pPr>
        <w:jc w:val="both"/>
        <w:rPr>
          <w:rFonts w:cs="Times New Roman"/>
          <w:lang w:eastAsia="fr-FR"/>
        </w:rPr>
      </w:pPr>
      <w:r>
        <w:tab/>
      </w:r>
      <w:r w:rsidRPr="003B2508">
        <w:rPr>
          <w:rFonts w:cs="Times New Roman"/>
          <w:lang w:eastAsia="fr-FR"/>
        </w:rPr>
        <w:t>La question est ici celle de savoir comment s</w:t>
      </w:r>
      <w:r>
        <w:rPr>
          <w:rFonts w:cs="Times New Roman"/>
          <w:lang w:eastAsia="fr-FR"/>
        </w:rPr>
        <w:t xml:space="preserve">’encochent des « stases » </w:t>
      </w:r>
      <w:proofErr w:type="spellStart"/>
      <w:r>
        <w:rPr>
          <w:rFonts w:cs="Times New Roman"/>
          <w:lang w:eastAsia="fr-FR"/>
        </w:rPr>
        <w:t>esthes</w:t>
      </w:r>
      <w:r w:rsidRPr="003B2508">
        <w:rPr>
          <w:rFonts w:cs="Times New Roman"/>
          <w:lang w:eastAsia="fr-FR"/>
        </w:rPr>
        <w:t>iques</w:t>
      </w:r>
      <w:proofErr w:type="spellEnd"/>
      <w:r w:rsidRPr="003B2508">
        <w:rPr>
          <w:rFonts w:cs="Times New Roman"/>
          <w:lang w:eastAsia="fr-FR"/>
        </w:rPr>
        <w:t xml:space="preserve"> (de connexion réceptive avec l’environnement) au cœur même de nos affairements pratiques et instrumentaux : comment l’un peut passer dans l’autre.</w:t>
      </w:r>
      <w:r w:rsidR="00CC24B3">
        <w:t xml:space="preserve"> Or l</w:t>
      </w:r>
      <w:r w:rsidR="002B0759">
        <w:t>e concept de « </w:t>
      </w:r>
      <w:proofErr w:type="spellStart"/>
      <w:r w:rsidR="002B0759">
        <w:t>task</w:t>
      </w:r>
      <w:proofErr w:type="spellEnd"/>
      <w:r w:rsidR="002B0759">
        <w:t xml:space="preserve"> s</w:t>
      </w:r>
      <w:r>
        <w:t>cape » proposé par Tim Ingold semble être un très bon candidat à cet office</w:t>
      </w:r>
      <w:r w:rsidRPr="003B2508">
        <w:rPr>
          <w:rStyle w:val="Marquenotebasdepage"/>
          <w:rFonts w:cs="Times New Roman"/>
          <w:lang w:eastAsia="fr-FR"/>
        </w:rPr>
        <w:footnoteReference w:id="5"/>
      </w:r>
      <w:r>
        <w:t xml:space="preserve"> ! </w:t>
      </w:r>
      <w:r>
        <w:rPr>
          <w:rFonts w:cs="Times New Roman"/>
          <w:lang w:eastAsia="fr-FR"/>
        </w:rPr>
        <w:t xml:space="preserve">Ici, et pour l’expliciter, </w:t>
      </w:r>
      <w:r w:rsidRPr="003B2508">
        <w:rPr>
          <w:rFonts w:cs="Times New Roman"/>
          <w:lang w:eastAsia="fr-FR"/>
        </w:rPr>
        <w:t>une image – un tableau célèbre, en l’occurrence -  vaut mieux qu’un long discours. Celui de « la Moisson » de Breughel l’ancien. Le commentaire qu’en donne Tim Ingold en fait particulièrement saillir le commun rythmique inscrit dans les corps ; leu</w:t>
      </w:r>
      <w:r>
        <w:rPr>
          <w:rFonts w:cs="Times New Roman"/>
          <w:lang w:eastAsia="fr-FR"/>
        </w:rPr>
        <w:t>r appartenance à une même temporalité</w:t>
      </w:r>
      <w:r w:rsidRPr="003B2508">
        <w:rPr>
          <w:rFonts w:cs="Times New Roman"/>
          <w:lang w:eastAsia="fr-FR"/>
        </w:rPr>
        <w:t>, tel que les accompli</w:t>
      </w:r>
      <w:r>
        <w:rPr>
          <w:rFonts w:cs="Times New Roman"/>
          <w:lang w:eastAsia="fr-FR"/>
        </w:rPr>
        <w:t>ssements de tâches dispersées la</w:t>
      </w:r>
      <w:r w:rsidRPr="003B2508">
        <w:rPr>
          <w:rFonts w:cs="Times New Roman"/>
          <w:lang w:eastAsia="fr-FR"/>
        </w:rPr>
        <w:t xml:space="preserve"> confirment parce que les corps supportent ce concert d’engagements et, partant, donnent épaisseur et consistance à cet ensemble. Sans doute est-ce la figure de la « Noria », de la rotation, qui organise l’ensemble du tableau de Breughel. On y voit des êtres portant des victuailles pour les moissonneurs au repos, cependant que dans un mouvement inverse, d’autres emportent au loin leurs bottes de foin ; cependant encore que l’on voit bien que, pour ceux qui au milieu du tableau n’en continuent pas moins de faucher, l’on voit bien, donc, que les mouvements de leurs faux sont synchrones de manière à éviter toute collision malencontreuse. Tim Ingold parle alors d’une qualité</w:t>
      </w:r>
      <w:r w:rsidRPr="003B2508">
        <w:rPr>
          <w:rFonts w:cs="Times New Roman"/>
          <w:b/>
          <w:bCs/>
          <w:lang w:eastAsia="fr-FR"/>
        </w:rPr>
        <w:t xml:space="preserve"> </w:t>
      </w:r>
      <w:proofErr w:type="spellStart"/>
      <w:r w:rsidRPr="003B2508">
        <w:rPr>
          <w:rFonts w:cs="Times New Roman"/>
          <w:b/>
          <w:bCs/>
          <w:lang w:eastAsia="fr-FR"/>
        </w:rPr>
        <w:t>syn</w:t>
      </w:r>
      <w:proofErr w:type="spellEnd"/>
      <w:r w:rsidRPr="003B2508">
        <w:rPr>
          <w:rFonts w:cs="Times New Roman"/>
          <w:b/>
          <w:bCs/>
          <w:lang w:eastAsia="fr-FR"/>
        </w:rPr>
        <w:t xml:space="preserve"> rythmique</w:t>
      </w:r>
      <w:r w:rsidRPr="003B2508">
        <w:rPr>
          <w:rFonts w:cs="Times New Roman"/>
          <w:lang w:eastAsia="fr-FR"/>
        </w:rPr>
        <w:t xml:space="preserve"> comme socle sur lequel peut s’enlever le sens</w:t>
      </w:r>
      <w:r>
        <w:rPr>
          <w:rFonts w:cs="Times New Roman"/>
          <w:lang w:eastAsia="fr-FR"/>
        </w:rPr>
        <w:t xml:space="preserve"> du paysage. On proposerait ici d’être plus précis et de parler du sens qu’il y a d’être </w:t>
      </w:r>
      <w:r w:rsidRPr="00455C76">
        <w:rPr>
          <w:rFonts w:cs="Times New Roman"/>
          <w:b/>
          <w:lang w:eastAsia="fr-FR"/>
        </w:rPr>
        <w:t>en</w:t>
      </w:r>
      <w:r>
        <w:rPr>
          <w:rFonts w:cs="Times New Roman"/>
          <w:lang w:eastAsia="fr-FR"/>
        </w:rPr>
        <w:t xml:space="preserve"> paysage ; et qu’il peut nous arriver d’éprouver même en dehors de l’espace d’un tableau ; ou mieux dès lors que le rapport à l’environnement s’éprouverait comme l’entrée dans un tel tableau. </w:t>
      </w:r>
      <w:r w:rsidRPr="003B2508">
        <w:rPr>
          <w:rFonts w:cs="Times New Roman"/>
          <w:lang w:eastAsia="fr-FR"/>
        </w:rPr>
        <w:t>Un peu comme si chaque geste,  chaque tâche en train d’être accomplie s’offrait ou fonctionnait comme caisse de résonance de la multitude environnante</w:t>
      </w:r>
      <w:r w:rsidR="000817CF">
        <w:rPr>
          <w:rStyle w:val="Marquenotebasdepage"/>
          <w:rFonts w:cs="Times New Roman"/>
          <w:lang w:eastAsia="fr-FR"/>
        </w:rPr>
        <w:footnoteReference w:id="6"/>
      </w:r>
      <w:r w:rsidRPr="003B2508">
        <w:rPr>
          <w:rFonts w:cs="Times New Roman"/>
          <w:lang w:eastAsia="fr-FR"/>
        </w:rPr>
        <w:t>.  Et l’on compre</w:t>
      </w:r>
      <w:r w:rsidR="00CC24B3">
        <w:rPr>
          <w:rFonts w:cs="Times New Roman"/>
          <w:lang w:eastAsia="fr-FR"/>
        </w:rPr>
        <w:t xml:space="preserve">nd bien que l’intérêt </w:t>
      </w:r>
      <w:r w:rsidRPr="003B2508">
        <w:rPr>
          <w:rFonts w:cs="Times New Roman"/>
          <w:lang w:eastAsia="fr-FR"/>
        </w:rPr>
        <w:t>est d’avoir là une manière de penser l’adhésion paysagère autrement que dans la rupture avec la menée à bien de segments de tâche.</w:t>
      </w:r>
      <w:r>
        <w:rPr>
          <w:rFonts w:cs="Times New Roman"/>
          <w:lang w:eastAsia="fr-FR"/>
        </w:rPr>
        <w:t xml:space="preserve"> </w:t>
      </w:r>
      <w:r w:rsidRPr="003B2508">
        <w:rPr>
          <w:rFonts w:cs="Times New Roman"/>
          <w:lang w:eastAsia="fr-FR"/>
        </w:rPr>
        <w:t xml:space="preserve">Reprenant les catégories de Michael Polanyi, </w:t>
      </w:r>
      <w:r w:rsidRPr="003B2508">
        <w:rPr>
          <w:rFonts w:cs="Times New Roman"/>
          <w:iCs/>
          <w:lang w:eastAsia="fr-FR"/>
        </w:rPr>
        <w:t>on pourrait dire que l’attention principale est étayée par des attentions subsidiaires aux corps environnant et à leurs mouvements, ce subsidiaire « logeant » en quelque sorte la tâche accomplie dans un ensemble d’accomplissements plus vaste</w:t>
      </w:r>
      <w:r w:rsidRPr="003B2508">
        <w:rPr>
          <w:rFonts w:cs="Times New Roman"/>
          <w:lang w:eastAsia="fr-FR"/>
        </w:rPr>
        <w:t>.</w:t>
      </w:r>
    </w:p>
    <w:p w14:paraId="24AE111C" w14:textId="77777777" w:rsidR="004C79F5" w:rsidRPr="00944D3E" w:rsidRDefault="00944D3E" w:rsidP="003E5932">
      <w:pPr>
        <w:spacing w:before="100" w:beforeAutospacing="1" w:after="100" w:afterAutospacing="1"/>
        <w:jc w:val="both"/>
        <w:rPr>
          <w:rFonts w:cs="Times New Roman"/>
          <w:b/>
          <w:lang w:eastAsia="fr-FR"/>
        </w:rPr>
      </w:pPr>
      <w:r w:rsidRPr="00944D3E">
        <w:rPr>
          <w:rFonts w:cs="Times New Roman"/>
          <w:b/>
          <w:lang w:eastAsia="fr-FR"/>
        </w:rPr>
        <w:t>Membranes et tonus interactionnels</w:t>
      </w:r>
    </w:p>
    <w:p w14:paraId="44D33112" w14:textId="56AECFB5" w:rsidR="003B2508" w:rsidRPr="003B2508" w:rsidRDefault="003B2508" w:rsidP="003E5932">
      <w:pPr>
        <w:spacing w:before="100" w:beforeAutospacing="1" w:after="100" w:afterAutospacing="1"/>
        <w:jc w:val="both"/>
        <w:rPr>
          <w:rFonts w:cs="Times New Roman"/>
          <w:lang w:eastAsia="fr-FR"/>
        </w:rPr>
      </w:pPr>
      <w:r w:rsidRPr="003B2508">
        <w:rPr>
          <w:rFonts w:cs="Times New Roman"/>
          <w:lang w:eastAsia="fr-FR"/>
        </w:rPr>
        <w:t xml:space="preserve"> </w:t>
      </w:r>
      <w:r w:rsidR="00944D3E">
        <w:rPr>
          <w:rFonts w:cs="Times New Roman"/>
          <w:lang w:eastAsia="fr-FR"/>
        </w:rPr>
        <w:tab/>
      </w:r>
      <w:r w:rsidRPr="003B2508">
        <w:rPr>
          <w:rFonts w:cs="Times New Roman"/>
          <w:lang w:eastAsia="fr-FR"/>
        </w:rPr>
        <w:t xml:space="preserve">Le troisième élément dans notre jeu de clefs conceptuel – et l’on se tournera alors vers les apports de la micro sociologie d’inspiration </w:t>
      </w:r>
      <w:proofErr w:type="spellStart"/>
      <w:r w:rsidRPr="003B2508">
        <w:rPr>
          <w:rFonts w:cs="Times New Roman"/>
          <w:lang w:eastAsia="fr-FR"/>
        </w:rPr>
        <w:t>goffmanienne</w:t>
      </w:r>
      <w:proofErr w:type="spellEnd"/>
      <w:r w:rsidRPr="003B2508">
        <w:rPr>
          <w:rFonts w:cs="Times New Roman"/>
          <w:lang w:eastAsia="fr-FR"/>
        </w:rPr>
        <w:t xml:space="preserve"> - concerne la conception même des dynamiques des interactions. Quand on pense interaction, on pense action, puis réaction à cette action, puis réaction à cette réaction etc. Dans nos imaginaires, l’interactif </w:t>
      </w:r>
      <w:r w:rsidR="00944D3E">
        <w:rPr>
          <w:rFonts w:cs="Times New Roman"/>
          <w:lang w:eastAsia="fr-FR"/>
        </w:rPr>
        <w:t xml:space="preserve">a une valeur positive à proportion de sa </w:t>
      </w:r>
      <w:r w:rsidRPr="003B2508">
        <w:rPr>
          <w:rFonts w:cs="Times New Roman"/>
          <w:lang w:eastAsia="fr-FR"/>
        </w:rPr>
        <w:t>te</w:t>
      </w:r>
      <w:r w:rsidR="00CC24B3">
        <w:rPr>
          <w:rFonts w:cs="Times New Roman"/>
          <w:lang w:eastAsia="fr-FR"/>
        </w:rPr>
        <w:t>neur émancipatoire. On peut référer</w:t>
      </w:r>
      <w:r w:rsidRPr="003B2508">
        <w:rPr>
          <w:rFonts w:cs="Times New Roman"/>
          <w:lang w:eastAsia="fr-FR"/>
        </w:rPr>
        <w:t xml:space="preserve"> par exemple </w:t>
      </w:r>
      <w:r w:rsidR="00CC24B3">
        <w:rPr>
          <w:rFonts w:cs="Times New Roman"/>
          <w:lang w:eastAsia="fr-FR"/>
        </w:rPr>
        <w:t xml:space="preserve">à </w:t>
      </w:r>
      <w:r w:rsidRPr="003B2508">
        <w:rPr>
          <w:rFonts w:cs="Times New Roman"/>
          <w:lang w:eastAsia="fr-FR"/>
        </w:rPr>
        <w:t xml:space="preserve">la différence entre les environnements passifs (type mass media) et les environnements où l’on peut s’affirmer, réagir etc. Il y a cependant dans toute interaction une dimension d’astreinte qu’on pourrait dire </w:t>
      </w:r>
      <w:r w:rsidRPr="003B2508">
        <w:rPr>
          <w:rFonts w:cs="Times New Roman"/>
          <w:b/>
          <w:bCs/>
          <w:lang w:eastAsia="fr-FR"/>
        </w:rPr>
        <w:t>tonique,</w:t>
      </w:r>
      <w:r w:rsidRPr="003B2508">
        <w:rPr>
          <w:rFonts w:cs="Times New Roman"/>
          <w:lang w:eastAsia="fr-FR"/>
        </w:rPr>
        <w:t xml:space="preserve"> qui non seulement « contraint » les </w:t>
      </w:r>
      <w:proofErr w:type="spellStart"/>
      <w:r w:rsidRPr="003B2508">
        <w:rPr>
          <w:rFonts w:cs="Times New Roman"/>
          <w:lang w:eastAsia="fr-FR"/>
        </w:rPr>
        <w:t>interactants</w:t>
      </w:r>
      <w:proofErr w:type="spellEnd"/>
      <w:r w:rsidR="00CC24B3">
        <w:rPr>
          <w:rFonts w:cs="Times New Roman"/>
          <w:lang w:eastAsia="fr-FR"/>
        </w:rPr>
        <w:t>,</w:t>
      </w:r>
      <w:r w:rsidRPr="003B2508">
        <w:rPr>
          <w:rFonts w:cs="Times New Roman"/>
          <w:lang w:eastAsia="fr-FR"/>
        </w:rPr>
        <w:t xml:space="preserve"> mais les contraint à la soutenir ou à l’entretenir</w:t>
      </w:r>
      <w:r w:rsidR="00944D3E">
        <w:rPr>
          <w:rFonts w:cs="Times New Roman"/>
          <w:lang w:eastAsia="fr-FR"/>
        </w:rPr>
        <w:t xml:space="preserve"> </w:t>
      </w:r>
      <w:r w:rsidR="00944D3E" w:rsidRPr="00944D3E">
        <w:rPr>
          <w:rFonts w:cs="Times New Roman"/>
          <w:highlight w:val="yellow"/>
          <w:lang w:eastAsia="fr-FR"/>
        </w:rPr>
        <w:t>ensemble</w:t>
      </w:r>
      <w:r w:rsidRPr="003B2508">
        <w:rPr>
          <w:rFonts w:cs="Times New Roman"/>
          <w:lang w:eastAsia="fr-FR"/>
        </w:rPr>
        <w:t>. Et peut-être cette dimension d’astreint</w:t>
      </w:r>
      <w:r w:rsidR="00944D3E">
        <w:rPr>
          <w:rFonts w:cs="Times New Roman"/>
          <w:lang w:eastAsia="fr-FR"/>
        </w:rPr>
        <w:t>e  ne se voit jamais si bien – paradox</w:t>
      </w:r>
      <w:r w:rsidRPr="003B2508">
        <w:rPr>
          <w:rFonts w:cs="Times New Roman"/>
          <w:lang w:eastAsia="fr-FR"/>
        </w:rPr>
        <w:t>e</w:t>
      </w:r>
      <w:r w:rsidR="00944D3E">
        <w:rPr>
          <w:rFonts w:cs="Times New Roman"/>
          <w:lang w:eastAsia="fr-FR"/>
        </w:rPr>
        <w:t xml:space="preserve"> -</w:t>
      </w:r>
      <w:r w:rsidRPr="003B2508">
        <w:rPr>
          <w:rFonts w:cs="Times New Roman"/>
          <w:lang w:eastAsia="fr-FR"/>
        </w:rPr>
        <w:t xml:space="preserve"> que dans le cas du jeu ! </w:t>
      </w:r>
    </w:p>
    <w:p w14:paraId="750E4778" w14:textId="77777777" w:rsidR="003B2508" w:rsidRPr="003B2508" w:rsidRDefault="003B2508" w:rsidP="003E5932">
      <w:pPr>
        <w:spacing w:before="100" w:beforeAutospacing="1" w:after="100" w:afterAutospacing="1"/>
        <w:jc w:val="both"/>
        <w:rPr>
          <w:rFonts w:cs="Times New Roman"/>
          <w:lang w:eastAsia="fr-FR"/>
        </w:rPr>
      </w:pPr>
      <w:proofErr w:type="spellStart"/>
      <w:r w:rsidRPr="003B2508">
        <w:rPr>
          <w:rFonts w:cs="Times New Roman"/>
          <w:lang w:eastAsia="fr-FR"/>
        </w:rPr>
        <w:t>Erving</w:t>
      </w:r>
      <w:proofErr w:type="spellEnd"/>
      <w:r w:rsidRPr="003B2508">
        <w:rPr>
          <w:rFonts w:cs="Times New Roman"/>
          <w:lang w:eastAsia="fr-FR"/>
        </w:rPr>
        <w:t xml:space="preserve"> Goffman, dans « Fun in </w:t>
      </w:r>
      <w:proofErr w:type="spellStart"/>
      <w:r w:rsidRPr="003B2508">
        <w:rPr>
          <w:rFonts w:cs="Times New Roman"/>
          <w:lang w:eastAsia="fr-FR"/>
        </w:rPr>
        <w:t>games</w:t>
      </w:r>
      <w:proofErr w:type="spellEnd"/>
      <w:r w:rsidRPr="003B2508">
        <w:rPr>
          <w:rFonts w:cs="Times New Roman"/>
          <w:lang w:eastAsia="fr-FR"/>
        </w:rPr>
        <w:t> » prend acte que « la théorie des jeux » est devenue un prisme conceptuel pour penser les interactions entre acteurs</w:t>
      </w:r>
      <w:r w:rsidRPr="003B2508">
        <w:rPr>
          <w:rStyle w:val="Marquenotebasdepage"/>
          <w:rFonts w:cs="Times New Roman"/>
          <w:lang w:eastAsia="fr-FR"/>
        </w:rPr>
        <w:footnoteReference w:id="7"/>
      </w:r>
      <w:r w:rsidRPr="003B2508">
        <w:rPr>
          <w:rFonts w:cs="Times New Roman"/>
          <w:lang w:eastAsia="fr-FR"/>
        </w:rPr>
        <w:t>. Nous sommes tous en train de jouer des coups dans des parties à enjeu, par exemple de pouvoir… ce qui n’est pas faux !! Mais c’est un peu comme si nous étions rendus à cette condition de n’être que des sortes de « </w:t>
      </w:r>
      <w:r w:rsidRPr="00941A6A">
        <w:rPr>
          <w:rFonts w:cs="Times New Roman"/>
          <w:bCs/>
          <w:lang w:eastAsia="fr-FR"/>
        </w:rPr>
        <w:t>stratèges infatigables </w:t>
      </w:r>
      <w:r w:rsidRPr="003B2508">
        <w:rPr>
          <w:rFonts w:cs="Times New Roman"/>
          <w:lang w:eastAsia="fr-FR"/>
        </w:rPr>
        <w:t xml:space="preserve">». Dans cette approche, une chose passe à la trappe, et qui est pourtant essentielle quand on parle de jeu, c’est le « fun » que l’on prend dans un jeu. Et ce « fun » s’atteint particulièrement quand on est « tout au jeu ». Pris par le jeu ; captivé par le jeu au point qu’on oublie pour un moment la vie qui n’en continue pas moins de suivre son cours à proximité. </w:t>
      </w:r>
    </w:p>
    <w:p w14:paraId="3FD8AED2" w14:textId="7DAE1EC7" w:rsidR="003B2508" w:rsidRPr="00490F3B" w:rsidRDefault="003B2508" w:rsidP="003E5932">
      <w:pPr>
        <w:spacing w:before="100" w:beforeAutospacing="1" w:after="100" w:afterAutospacing="1"/>
        <w:jc w:val="both"/>
        <w:rPr>
          <w:rFonts w:cs="Times New Roman"/>
          <w:shd w:val="clear" w:color="auto" w:fill="00FF00"/>
          <w:lang w:eastAsia="fr-FR"/>
        </w:rPr>
      </w:pPr>
      <w:r w:rsidRPr="003B2508">
        <w:rPr>
          <w:rFonts w:cs="Times New Roman"/>
          <w:lang w:eastAsia="fr-FR"/>
        </w:rPr>
        <w:t xml:space="preserve">L’invitation conceptuelle consiste alors à penser les interactions comme supposant toujours un minimum – en anglais - </w:t>
      </w:r>
      <w:r w:rsidR="00490F3B">
        <w:rPr>
          <w:rFonts w:cs="Times New Roman"/>
          <w:lang w:eastAsia="fr-FR"/>
        </w:rPr>
        <w:t xml:space="preserve">  d’ « </w:t>
      </w:r>
      <w:proofErr w:type="spellStart"/>
      <w:r w:rsidR="00490F3B">
        <w:rPr>
          <w:rFonts w:cs="Times New Roman"/>
          <w:lang w:eastAsia="fr-FR"/>
        </w:rPr>
        <w:t>engrossment</w:t>
      </w:r>
      <w:proofErr w:type="spellEnd"/>
      <w:r w:rsidR="00490F3B">
        <w:rPr>
          <w:rFonts w:cs="Times New Roman"/>
          <w:lang w:eastAsia="fr-FR"/>
        </w:rPr>
        <w:t> » et d’  « </w:t>
      </w:r>
      <w:proofErr w:type="spellStart"/>
      <w:r w:rsidR="00490F3B">
        <w:rPr>
          <w:rFonts w:cs="Times New Roman"/>
          <w:lang w:eastAsia="fr-FR"/>
        </w:rPr>
        <w:t>involvement</w:t>
      </w:r>
      <w:proofErr w:type="spellEnd"/>
      <w:r w:rsidR="00490F3B">
        <w:rPr>
          <w:rFonts w:cs="Times New Roman"/>
          <w:lang w:eastAsia="fr-FR"/>
        </w:rPr>
        <w:t xml:space="preserve"> » et en français, </w:t>
      </w:r>
      <w:r w:rsidRPr="003B2508">
        <w:rPr>
          <w:rFonts w:cs="Times New Roman"/>
          <w:lang w:eastAsia="fr-FR"/>
        </w:rPr>
        <w:t xml:space="preserve">« d’absorption », « d’implication »,  construisant en quelque sorte un micro monde « sous membrane ». Mais il s’agit moins pour Goffman de dire que toutes les interactions sont captivantes, il s’agit de les considérer </w:t>
      </w:r>
      <w:r w:rsidRPr="003B2508">
        <w:rPr>
          <w:rFonts w:cs="Times New Roman"/>
          <w:b/>
          <w:bCs/>
          <w:lang w:eastAsia="fr-FR"/>
        </w:rPr>
        <w:t xml:space="preserve">aussi </w:t>
      </w:r>
      <w:r w:rsidR="00944D3E">
        <w:rPr>
          <w:rFonts w:cs="Times New Roman"/>
          <w:lang w:eastAsia="fr-FR"/>
        </w:rPr>
        <w:t>sous cet angle</w:t>
      </w:r>
      <w:r w:rsidRPr="003B2508">
        <w:rPr>
          <w:rFonts w:cs="Times New Roman"/>
          <w:lang w:eastAsia="fr-FR"/>
        </w:rPr>
        <w:t xml:space="preserve"> et pas simplement comme un chapelet d’actions et de réactions. Il s’agit d’attirer l’attention sur le fait qu’elles supposent toujours une régulation (en général ratifiée par les partenaires) de la teneur d’investissement, d’implication, propre à telle ou telle situation ! De ce point de vue, une des « conditions de félicité » de l’interaction (outre que chacun suive les règles du jeu), repose sur </w:t>
      </w:r>
      <w:r w:rsidRPr="00941A6A">
        <w:rPr>
          <w:rFonts w:cs="Times New Roman"/>
          <w:bCs/>
          <w:lang w:eastAsia="fr-FR"/>
        </w:rPr>
        <w:t>un</w:t>
      </w:r>
      <w:r w:rsidRPr="003B2508">
        <w:rPr>
          <w:rFonts w:cs="Times New Roman"/>
          <w:b/>
          <w:bCs/>
          <w:lang w:eastAsia="fr-FR"/>
        </w:rPr>
        <w:t xml:space="preserve"> </w:t>
      </w:r>
      <w:r w:rsidRPr="00941A6A">
        <w:rPr>
          <w:rFonts w:cs="Times New Roman"/>
          <w:bCs/>
          <w:lang w:eastAsia="fr-FR"/>
        </w:rPr>
        <w:t>dosage similaire par les parties pr</w:t>
      </w:r>
      <w:r w:rsidR="00941A6A">
        <w:rPr>
          <w:rFonts w:cs="Times New Roman"/>
          <w:bCs/>
          <w:lang w:eastAsia="fr-FR"/>
        </w:rPr>
        <w:t>enantes du sérieux prêté</w:t>
      </w:r>
      <w:r w:rsidRPr="00941A6A">
        <w:rPr>
          <w:rFonts w:cs="Times New Roman"/>
          <w:bCs/>
          <w:lang w:eastAsia="fr-FR"/>
        </w:rPr>
        <w:t xml:space="preserve"> au jeu qui se joue</w:t>
      </w:r>
      <w:r w:rsidRPr="003B2508">
        <w:rPr>
          <w:rFonts w:cs="Times New Roman"/>
          <w:b/>
          <w:bCs/>
          <w:lang w:eastAsia="fr-FR"/>
        </w:rPr>
        <w:t>.</w:t>
      </w:r>
      <w:r w:rsidRPr="003B2508">
        <w:rPr>
          <w:rFonts w:cs="Times New Roman"/>
          <w:lang w:eastAsia="fr-FR"/>
        </w:rPr>
        <w:t xml:space="preserve"> Il se peut ainsi que quelqu’un se prenne trop au jeu, le prenne trop au sérieux, mais aussi qu’un autre soit perçu comme le jouant de mauvaise grâce (on peut par exemple penser au père qui concède une partie de « petit chevaux » à son fils). Dans ces cas-là, ce désaccord qu’on pourrait dire « thymique », (sur le « </w:t>
      </w:r>
      <w:proofErr w:type="spellStart"/>
      <w:r w:rsidRPr="003B2508">
        <w:rPr>
          <w:rFonts w:cs="Times New Roman"/>
          <w:lang w:eastAsia="fr-FR"/>
        </w:rPr>
        <w:t>mood</w:t>
      </w:r>
      <w:proofErr w:type="spellEnd"/>
      <w:r w:rsidRPr="003B2508">
        <w:rPr>
          <w:rFonts w:cs="Times New Roman"/>
          <w:lang w:eastAsia="fr-FR"/>
        </w:rPr>
        <w:t xml:space="preserve"> ») jette une ombre sur l’interaction, et par ricochet sur l’image de soi, vue par l’autre. </w:t>
      </w:r>
    </w:p>
    <w:p w14:paraId="76B77B3D" w14:textId="77777777" w:rsidR="003B2508" w:rsidRPr="003B2508" w:rsidRDefault="003B2508" w:rsidP="003E5932">
      <w:pPr>
        <w:spacing w:before="100" w:beforeAutospacing="1" w:after="100" w:afterAutospacing="1"/>
        <w:jc w:val="both"/>
        <w:rPr>
          <w:rFonts w:cs="Times New Roman"/>
          <w:lang w:eastAsia="fr-FR"/>
        </w:rPr>
      </w:pPr>
      <w:r w:rsidRPr="003B2508">
        <w:rPr>
          <w:rFonts w:cs="Times New Roman"/>
          <w:lang w:eastAsia="fr-FR"/>
        </w:rPr>
        <w:t xml:space="preserve">Résumons : </w:t>
      </w:r>
      <w:r w:rsidRPr="003B2508">
        <w:rPr>
          <w:rFonts w:cs="Times New Roman"/>
          <w:b/>
          <w:lang w:eastAsia="fr-FR"/>
        </w:rPr>
        <w:t>contemporanéité, « </w:t>
      </w:r>
      <w:proofErr w:type="spellStart"/>
      <w:r w:rsidRPr="003B2508">
        <w:rPr>
          <w:rFonts w:cs="Times New Roman"/>
          <w:b/>
          <w:lang w:eastAsia="fr-FR"/>
        </w:rPr>
        <w:t>syn</w:t>
      </w:r>
      <w:proofErr w:type="spellEnd"/>
      <w:r w:rsidRPr="003B2508">
        <w:rPr>
          <w:rFonts w:cs="Times New Roman"/>
          <w:b/>
          <w:lang w:eastAsia="fr-FR"/>
        </w:rPr>
        <w:t xml:space="preserve"> </w:t>
      </w:r>
      <w:proofErr w:type="spellStart"/>
      <w:r w:rsidRPr="003B2508">
        <w:rPr>
          <w:rFonts w:cs="Times New Roman"/>
          <w:b/>
          <w:lang w:eastAsia="fr-FR"/>
        </w:rPr>
        <w:t>rythmie</w:t>
      </w:r>
      <w:proofErr w:type="spellEnd"/>
      <w:r w:rsidRPr="003B2508">
        <w:rPr>
          <w:rFonts w:cs="Times New Roman"/>
          <w:b/>
          <w:lang w:eastAsia="fr-FR"/>
        </w:rPr>
        <w:t> », tonus partagé </w:t>
      </w:r>
      <w:r w:rsidRPr="003B2508">
        <w:rPr>
          <w:rFonts w:cs="Times New Roman"/>
          <w:lang w:eastAsia="fr-FR"/>
        </w:rPr>
        <w:t xml:space="preserve">; tout cela conspire, on le conçoit,  pour donner une épaisseur sensible au domaine des interactions. </w:t>
      </w:r>
    </w:p>
    <w:p w14:paraId="77FFC1E7" w14:textId="4ECD78B6" w:rsidR="003B2508" w:rsidRPr="002D5B17" w:rsidRDefault="00637777" w:rsidP="003E5932">
      <w:pPr>
        <w:spacing w:before="100" w:beforeAutospacing="1" w:after="100" w:afterAutospacing="1"/>
        <w:jc w:val="both"/>
        <w:rPr>
          <w:rFonts w:cs="Times New Roman"/>
          <w:b/>
          <w:lang w:eastAsia="fr-FR"/>
        </w:rPr>
      </w:pPr>
      <w:r>
        <w:rPr>
          <w:rFonts w:cs="Times New Roman"/>
          <w:b/>
          <w:lang w:eastAsia="fr-FR"/>
        </w:rPr>
        <w:t>Retour au village</w:t>
      </w:r>
    </w:p>
    <w:p w14:paraId="29BEA6BE" w14:textId="77777777" w:rsidR="003B2508" w:rsidRPr="003B2508" w:rsidRDefault="003B2508" w:rsidP="003E5932">
      <w:pPr>
        <w:spacing w:before="100" w:beforeAutospacing="1" w:after="100" w:afterAutospacing="1"/>
        <w:jc w:val="both"/>
        <w:rPr>
          <w:rFonts w:cs="Times New Roman"/>
          <w:lang w:eastAsia="fr-FR"/>
        </w:rPr>
      </w:pPr>
      <w:r w:rsidRPr="003B2508">
        <w:rPr>
          <w:rFonts w:cs="Times New Roman"/>
          <w:lang w:eastAsia="fr-FR"/>
        </w:rPr>
        <w:t xml:space="preserve">Avec ces quelques catégories en tête, revenons à la fête au village. L’espace considéré le temps de la fête est en quelque sorte configuré pour prêter son support à plusieurs types d’engagements collectifs. Il y a le kiosque, dont la vocation d’emprise, sonore, visuelle s’étend à l’ensemble de la place. Il y a des bancs, il y a aussi des tables de cafés en attente pour ainsi dire de leurs « tablées » ; il y a entre tout ça l’espace des déambulations. Et tout ceci va être </w:t>
      </w:r>
      <w:proofErr w:type="spellStart"/>
      <w:r w:rsidRPr="003B2508">
        <w:rPr>
          <w:rFonts w:cs="Times New Roman"/>
          <w:lang w:eastAsia="fr-FR"/>
        </w:rPr>
        <w:t>co</w:t>
      </w:r>
      <w:proofErr w:type="spellEnd"/>
      <w:r w:rsidRPr="003B2508">
        <w:rPr>
          <w:rFonts w:cs="Times New Roman"/>
          <w:lang w:eastAsia="fr-FR"/>
        </w:rPr>
        <w:t>-pratiqué intensément.</w:t>
      </w:r>
    </w:p>
    <w:p w14:paraId="120F8930" w14:textId="045B99EC" w:rsidR="003B2508" w:rsidRPr="003B2508" w:rsidRDefault="003B2508" w:rsidP="003E5932">
      <w:pPr>
        <w:spacing w:before="100" w:beforeAutospacing="1" w:after="100" w:afterAutospacing="1"/>
        <w:jc w:val="both"/>
        <w:rPr>
          <w:rFonts w:cs="Times New Roman"/>
          <w:lang w:eastAsia="fr-FR"/>
        </w:rPr>
      </w:pPr>
      <w:r w:rsidRPr="003B2508">
        <w:rPr>
          <w:rFonts w:cs="Times New Roman"/>
          <w:lang w:eastAsia="fr-FR"/>
        </w:rPr>
        <w:t xml:space="preserve">Cela définit un cadre large pour des engagements interactionnels simultanés. Et sans doute faut-il ajouter que ces engagements simultanés, peuvent saisir </w:t>
      </w:r>
      <w:r w:rsidRPr="003B2508">
        <w:rPr>
          <w:rFonts w:cs="Times New Roman"/>
          <w:b/>
          <w:lang w:eastAsia="fr-FR"/>
        </w:rPr>
        <w:t>aussi</w:t>
      </w:r>
      <w:r w:rsidRPr="003B2508">
        <w:rPr>
          <w:rFonts w:cs="Times New Roman"/>
          <w:lang w:eastAsia="fr-FR"/>
        </w:rPr>
        <w:t xml:space="preserve"> chacun des « engagés » dans des temporalités qui leur sont propres, les plaçant alors comme contemporains d’autres ! Par exemple de quelqu’un qui traverse la place à vive allure, plutôt que de le placer hors temps, on gagnerait à considérer qu’il est dans la temporalité d’un agenda partagé</w:t>
      </w:r>
      <w:r w:rsidR="00C946B7">
        <w:rPr>
          <w:rFonts w:cs="Times New Roman"/>
          <w:lang w:eastAsia="fr-FR"/>
        </w:rPr>
        <w:t xml:space="preserve"> (fut-ce avec des absents)</w:t>
      </w:r>
      <w:r w:rsidR="00637777">
        <w:rPr>
          <w:rFonts w:cs="Times New Roman"/>
          <w:lang w:eastAsia="fr-FR"/>
        </w:rPr>
        <w:t xml:space="preserve">, ainsi </w:t>
      </w:r>
      <w:r w:rsidRPr="003B2508">
        <w:rPr>
          <w:rFonts w:cs="Times New Roman"/>
          <w:lang w:eastAsia="fr-FR"/>
        </w:rPr>
        <w:t xml:space="preserve">celui d’être attendu à un « rendez-vous » ! Mais la déambulation solitaire peut aussi exprimer l’attente d’une rencontre, en quelque sorte stochastique ! </w:t>
      </w:r>
    </w:p>
    <w:p w14:paraId="790EB8D2" w14:textId="77777777" w:rsidR="003B2508" w:rsidRPr="003B2508" w:rsidRDefault="003B2508" w:rsidP="003E5932">
      <w:pPr>
        <w:spacing w:before="100" w:beforeAutospacing="1" w:after="100" w:afterAutospacing="1"/>
        <w:jc w:val="both"/>
        <w:rPr>
          <w:rFonts w:cs="Times New Roman"/>
          <w:lang w:eastAsia="fr-FR"/>
        </w:rPr>
      </w:pPr>
      <w:r w:rsidRPr="003B2508">
        <w:rPr>
          <w:rFonts w:cs="Times New Roman"/>
          <w:lang w:eastAsia="fr-FR"/>
        </w:rPr>
        <w:t xml:space="preserve">Un autre type d’engagement est celui dans lequel sont pris des « avec », des petits groupes, soit migrant sur la place, soit constituant des tablées. Ceux-là sont en quelque sorte les </w:t>
      </w:r>
      <w:r w:rsidRPr="004221FA">
        <w:rPr>
          <w:rFonts w:cs="Times New Roman"/>
          <w:bCs/>
          <w:lang w:eastAsia="fr-FR"/>
        </w:rPr>
        <w:t>contemporains d’un processus discursif</w:t>
      </w:r>
      <w:r w:rsidRPr="003B2508">
        <w:rPr>
          <w:rFonts w:cs="Times New Roman"/>
          <w:lang w:eastAsia="fr-FR"/>
        </w:rPr>
        <w:t xml:space="preserve"> qui avance, d’une conversation qui se mène et dans laquelle ils se doivent d’être « absorbés » ; au moins relativement.</w:t>
      </w:r>
    </w:p>
    <w:p w14:paraId="461C07EB" w14:textId="1F534DC7" w:rsidR="003B2508" w:rsidRPr="003B2508" w:rsidRDefault="003B2508" w:rsidP="003E5932">
      <w:pPr>
        <w:spacing w:before="100" w:beforeAutospacing="1" w:after="100" w:afterAutospacing="1"/>
        <w:jc w:val="both"/>
        <w:rPr>
          <w:rFonts w:cs="Times New Roman"/>
          <w:lang w:eastAsia="fr-FR"/>
        </w:rPr>
      </w:pPr>
      <w:r w:rsidRPr="003B2508">
        <w:rPr>
          <w:rFonts w:cs="Times New Roman"/>
          <w:lang w:eastAsia="fr-FR"/>
        </w:rPr>
        <w:t>Un dernier type d’engagement possible est celui qui, en quelque sorte, actualiserait la pertinence de l’équipement cen</w:t>
      </w:r>
      <w:r w:rsidR="00966E09">
        <w:rPr>
          <w:rFonts w:cs="Times New Roman"/>
          <w:lang w:eastAsia="fr-FR"/>
        </w:rPr>
        <w:t xml:space="preserve">tral (le kiosque), </w:t>
      </w:r>
      <w:r w:rsidR="002C6163">
        <w:rPr>
          <w:rFonts w:cs="Times New Roman"/>
          <w:lang w:eastAsia="fr-FR"/>
        </w:rPr>
        <w:t xml:space="preserve">l’élevant à sa vocation d’attirer l’attention générale. </w:t>
      </w:r>
      <w:r w:rsidRPr="003B2508">
        <w:rPr>
          <w:rFonts w:cs="Times New Roman"/>
          <w:lang w:eastAsia="fr-FR"/>
        </w:rPr>
        <w:t>Pour le moment, cependant, l’usage du conditionnel s’impose parce que, si des musiciens y jouent bien, c’est dans une indifférence quasi générale … Il est en quelque sorte en attente d’investissement !</w:t>
      </w:r>
      <w:r w:rsidR="00AB5E8B">
        <w:rPr>
          <w:rFonts w:cs="Times New Roman"/>
          <w:lang w:eastAsia="fr-FR"/>
        </w:rPr>
        <w:t xml:space="preserve"> </w:t>
      </w:r>
      <w:r w:rsidRPr="003B2508">
        <w:rPr>
          <w:rFonts w:cs="Times New Roman"/>
          <w:lang w:eastAsia="fr-FR"/>
        </w:rPr>
        <w:t>Ce dispositif scène/salle est donc là, sans arrêt, de toute la force de son potentiel, et comme la promesse d’un unisson d’attentions à venir. Ce qui nous intéresse, c’est alors de voir où quand et comment il prend ! Comment l’on passe d’un bassin d’attentions d</w:t>
      </w:r>
      <w:r w:rsidR="00C946B7">
        <w:rPr>
          <w:rFonts w:cs="Times New Roman"/>
          <w:lang w:eastAsia="fr-FR"/>
        </w:rPr>
        <w:t>ispersées (sur plusieurs focus</w:t>
      </w:r>
      <w:r w:rsidRPr="003B2508">
        <w:rPr>
          <w:rFonts w:cs="Times New Roman"/>
          <w:lang w:eastAsia="fr-FR"/>
        </w:rPr>
        <w:t xml:space="preserve"> conversationnels, par exemple) à un bassin rempli d’attentions faisant « chorus ». </w:t>
      </w:r>
    </w:p>
    <w:p w14:paraId="3C689564" w14:textId="77777777" w:rsidR="003B2508" w:rsidRPr="003B2508" w:rsidRDefault="003B2508" w:rsidP="003E5932">
      <w:pPr>
        <w:spacing w:before="100" w:beforeAutospacing="1" w:after="100" w:afterAutospacing="1"/>
        <w:jc w:val="both"/>
        <w:rPr>
          <w:rFonts w:cs="Times New Roman"/>
          <w:lang w:eastAsia="fr-FR"/>
        </w:rPr>
      </w:pPr>
      <w:r w:rsidRPr="003B2508">
        <w:rPr>
          <w:rFonts w:cs="Times New Roman"/>
          <w:lang w:eastAsia="fr-FR"/>
        </w:rPr>
        <w:t xml:space="preserve">Deux types d’observations sont alors praticables. </w:t>
      </w:r>
    </w:p>
    <w:p w14:paraId="4634FBB1" w14:textId="54933B2A" w:rsidR="00AB5E8B" w:rsidRDefault="003B2508" w:rsidP="003E5932">
      <w:pPr>
        <w:spacing w:before="100" w:beforeAutospacing="1" w:after="100" w:afterAutospacing="1"/>
        <w:jc w:val="both"/>
        <w:rPr>
          <w:rFonts w:cs="Times New Roman"/>
          <w:lang w:eastAsia="fr-FR"/>
        </w:rPr>
      </w:pPr>
      <w:r w:rsidRPr="003B2508">
        <w:rPr>
          <w:rFonts w:cs="Times New Roman"/>
          <w:lang w:eastAsia="fr-FR"/>
        </w:rPr>
        <w:t xml:space="preserve">Les premières portent sur le </w:t>
      </w:r>
      <w:r w:rsidRPr="00DA581B">
        <w:rPr>
          <w:rFonts w:cs="Times New Roman"/>
          <w:lang w:eastAsia="fr-FR"/>
        </w:rPr>
        <w:t>substrat matériel</w:t>
      </w:r>
      <w:r w:rsidRPr="003B2508">
        <w:rPr>
          <w:rFonts w:cs="Times New Roman"/>
          <w:lang w:eastAsia="fr-FR"/>
        </w:rPr>
        <w:t xml:space="preserve"> de la scène considérée : l’emprise de l’équipement central (le kiosque et l’orchestre) bénéficie en effet de l’entrée en action, tout</w:t>
      </w:r>
      <w:r w:rsidR="00DA581B">
        <w:rPr>
          <w:rFonts w:cs="Times New Roman"/>
          <w:lang w:eastAsia="fr-FR"/>
        </w:rPr>
        <w:t xml:space="preserve"> à la fois discrète et efficace</w:t>
      </w:r>
      <w:r w:rsidRPr="003B2508">
        <w:rPr>
          <w:rFonts w:cs="Times New Roman"/>
          <w:lang w:eastAsia="fr-FR"/>
        </w:rPr>
        <w:t>,</w:t>
      </w:r>
      <w:r w:rsidR="00DA581B">
        <w:rPr>
          <w:rFonts w:cs="Times New Roman"/>
          <w:lang w:eastAsia="fr-FR"/>
        </w:rPr>
        <w:t xml:space="preserve"> </w:t>
      </w:r>
      <w:r w:rsidRPr="003B2508">
        <w:rPr>
          <w:rFonts w:cs="Times New Roman"/>
          <w:lang w:eastAsia="fr-FR"/>
        </w:rPr>
        <w:t>d’autres équi</w:t>
      </w:r>
      <w:r w:rsidR="00DA581B">
        <w:rPr>
          <w:rFonts w:cs="Times New Roman"/>
          <w:lang w:eastAsia="fr-FR"/>
        </w:rPr>
        <w:t>pements, modestes, mobiles, et</w:t>
      </w:r>
      <w:r w:rsidRPr="003B2508">
        <w:rPr>
          <w:rFonts w:cs="Times New Roman"/>
          <w:lang w:eastAsia="fr-FR"/>
        </w:rPr>
        <w:t xml:space="preserve"> </w:t>
      </w:r>
      <w:r w:rsidR="00DA581B">
        <w:rPr>
          <w:rFonts w:cs="Times New Roman"/>
          <w:lang w:eastAsia="fr-FR"/>
        </w:rPr>
        <w:t xml:space="preserve">pourtant </w:t>
      </w:r>
      <w:r w:rsidRPr="003B2508">
        <w:rPr>
          <w:rFonts w:cs="Times New Roman"/>
          <w:lang w:eastAsia="fr-FR"/>
        </w:rPr>
        <w:t>parfaitement apprêtés à l’occasion (tenus en réserve en quelque sorte) ; ainsi assistera-t-on</w:t>
      </w:r>
      <w:r w:rsidR="00902D3F">
        <w:rPr>
          <w:rFonts w:cs="Times New Roman"/>
          <w:lang w:eastAsia="fr-FR"/>
        </w:rPr>
        <w:t> :</w:t>
      </w:r>
    </w:p>
    <w:p w14:paraId="668D6D38" w14:textId="22E5A9AD" w:rsidR="003B2508" w:rsidRPr="003B2508" w:rsidRDefault="00902D3F" w:rsidP="003E5932">
      <w:pPr>
        <w:spacing w:before="100" w:beforeAutospacing="1" w:after="100" w:afterAutospacing="1"/>
        <w:jc w:val="both"/>
        <w:rPr>
          <w:rFonts w:cs="Times New Roman"/>
          <w:lang w:eastAsia="fr-FR"/>
        </w:rPr>
      </w:pPr>
      <w:r>
        <w:rPr>
          <w:rFonts w:cs="Times New Roman"/>
          <w:lang w:eastAsia="fr-FR"/>
        </w:rPr>
        <w:t>-</w:t>
      </w:r>
      <w:r w:rsidR="003B2508" w:rsidRPr="003B2508">
        <w:rPr>
          <w:rFonts w:cs="Times New Roman"/>
          <w:lang w:eastAsia="fr-FR"/>
        </w:rPr>
        <w:t xml:space="preserve"> à la multiplication de coussins (par centaines) qui sortent</w:t>
      </w:r>
      <w:r w:rsidR="00DA581B">
        <w:rPr>
          <w:rFonts w:cs="Times New Roman"/>
          <w:lang w:eastAsia="fr-FR"/>
        </w:rPr>
        <w:t>, à toutes fins utiles,</w:t>
      </w:r>
      <w:r w:rsidR="003B2508" w:rsidRPr="003B2508">
        <w:rPr>
          <w:rFonts w:cs="Times New Roman"/>
          <w:lang w:eastAsia="fr-FR"/>
        </w:rPr>
        <w:t xml:space="preserve"> des arrières salles des cafés permettant de s’asseoir à même la rue ; </w:t>
      </w:r>
    </w:p>
    <w:p w14:paraId="5AA3F634" w14:textId="77777777" w:rsidR="003B2508" w:rsidRPr="003B2508" w:rsidRDefault="003B2508" w:rsidP="003E5932">
      <w:pPr>
        <w:spacing w:before="100" w:beforeAutospacing="1" w:after="100" w:afterAutospacing="1"/>
        <w:jc w:val="both"/>
        <w:rPr>
          <w:rFonts w:cs="Times New Roman"/>
          <w:lang w:eastAsia="fr-FR"/>
        </w:rPr>
      </w:pPr>
      <w:r w:rsidRPr="003B2508">
        <w:rPr>
          <w:rFonts w:cs="Times New Roman"/>
          <w:lang w:eastAsia="fr-FR"/>
        </w:rPr>
        <w:t>- au pivotement des tables, qui plutôt que d’être le long du mur, sur de micro-terrasses de bistrot, vont s’installer face au kiosque et barrant ainsi la rue. Sauf que, à y regarder de plus près, on verra bien que ce ne sont pas les mêmes tables, mais bien plutôt des tables bancales : elles ont en effet deux pieds courts et deux plus longs ; ceci pour compenser la légère déclivité de la volée de marches en quoi consiste la rue en pente. Des marches, comme on le dit d’escaliers ; mais des gradins aussi bien, comme on le dit au théâtre ou au cirque, et comme la foule commence à s’y installer …</w:t>
      </w:r>
    </w:p>
    <w:p w14:paraId="5F290234" w14:textId="6F8BC28D" w:rsidR="003B2508" w:rsidRPr="003B2508" w:rsidRDefault="00DA581B" w:rsidP="003E5932">
      <w:pPr>
        <w:spacing w:before="100" w:beforeAutospacing="1" w:after="100" w:afterAutospacing="1"/>
        <w:jc w:val="both"/>
        <w:rPr>
          <w:rFonts w:cs="Times New Roman"/>
          <w:lang w:eastAsia="fr-FR"/>
        </w:rPr>
      </w:pPr>
      <w:r>
        <w:rPr>
          <w:rFonts w:cs="Times New Roman"/>
          <w:lang w:eastAsia="fr-FR"/>
        </w:rPr>
        <w:t xml:space="preserve">Bref, autant </w:t>
      </w:r>
      <w:r w:rsidRPr="00DA581B">
        <w:rPr>
          <w:rFonts w:cs="Times New Roman"/>
          <w:lang w:eastAsia="fr-FR"/>
        </w:rPr>
        <w:t>d’</w:t>
      </w:r>
      <w:r w:rsidR="003B2508" w:rsidRPr="00DA581B">
        <w:rPr>
          <w:rFonts w:cs="Times New Roman"/>
          <w:bCs/>
          <w:lang w:eastAsia="fr-FR"/>
        </w:rPr>
        <w:t>équipements</w:t>
      </w:r>
      <w:r w:rsidR="003B2508" w:rsidRPr="00DA581B">
        <w:rPr>
          <w:rFonts w:cs="Times New Roman"/>
          <w:lang w:eastAsia="fr-FR"/>
        </w:rPr>
        <w:t xml:space="preserve"> parfaitement ajustés</w:t>
      </w:r>
      <w:r w:rsidR="003B2508" w:rsidRPr="003B2508">
        <w:rPr>
          <w:rFonts w:cs="Times New Roman"/>
          <w:lang w:eastAsia="fr-FR"/>
        </w:rPr>
        <w:t xml:space="preserve"> pour garantir la</w:t>
      </w:r>
      <w:r w:rsidR="003B2508" w:rsidRPr="00DA581B">
        <w:rPr>
          <w:rFonts w:cs="Times New Roman"/>
          <w:lang w:eastAsia="fr-FR"/>
        </w:rPr>
        <w:t xml:space="preserve"> </w:t>
      </w:r>
      <w:r w:rsidR="003B2508" w:rsidRPr="00DA581B">
        <w:rPr>
          <w:rFonts w:cs="Times New Roman"/>
          <w:bCs/>
          <w:lang w:eastAsia="fr-FR"/>
        </w:rPr>
        <w:t>convertibilité</w:t>
      </w:r>
      <w:r w:rsidR="003B2508" w:rsidRPr="003B2508">
        <w:rPr>
          <w:rFonts w:cs="Times New Roman"/>
          <w:b/>
          <w:bCs/>
          <w:lang w:eastAsia="fr-FR"/>
        </w:rPr>
        <w:t xml:space="preserve"> </w:t>
      </w:r>
      <w:r w:rsidR="003B2508" w:rsidRPr="003B2508">
        <w:rPr>
          <w:rFonts w:cs="Times New Roman"/>
          <w:lang w:eastAsia="fr-FR"/>
        </w:rPr>
        <w:t>des espaces d’attentions collectives, et favoriser ainsi l’émergence de ce que l’on a appelé des « unissons d’attention ».</w:t>
      </w:r>
    </w:p>
    <w:p w14:paraId="43467283" w14:textId="77777777" w:rsidR="003B2508" w:rsidRPr="003B2508" w:rsidRDefault="003B2508" w:rsidP="003E5932">
      <w:pPr>
        <w:spacing w:before="100" w:beforeAutospacing="1" w:after="100" w:afterAutospacing="1"/>
        <w:jc w:val="both"/>
        <w:rPr>
          <w:rFonts w:cs="Times New Roman"/>
          <w:lang w:eastAsia="fr-FR"/>
        </w:rPr>
      </w:pPr>
      <w:r w:rsidRPr="003B2508">
        <w:rPr>
          <w:rFonts w:cs="Times New Roman"/>
          <w:lang w:eastAsia="fr-FR"/>
        </w:rPr>
        <w:t>Observations interactionnelles ensuite.</w:t>
      </w:r>
    </w:p>
    <w:p w14:paraId="00A3DB78" w14:textId="637CA1CD" w:rsidR="003B2508" w:rsidRPr="003B2508" w:rsidRDefault="003B2508" w:rsidP="003E5932">
      <w:pPr>
        <w:spacing w:before="100" w:beforeAutospacing="1" w:after="100" w:afterAutospacing="1"/>
        <w:jc w:val="both"/>
        <w:rPr>
          <w:rFonts w:cs="Times New Roman"/>
          <w:lang w:eastAsia="fr-FR"/>
        </w:rPr>
      </w:pPr>
      <w:r w:rsidRPr="003B2508">
        <w:rPr>
          <w:rFonts w:cs="Times New Roman"/>
          <w:lang w:eastAsia="fr-FR"/>
        </w:rPr>
        <w:t>Ce n’est pas, en effet, parce que coussins et tables sont à disposition que le spectacle commence. Il est simplement rendu possible. Il y aurait bien de quoi actualiser son potentiel. Il y a bien un fil musical à peu près continu, mais voilà : pas beaucoup de « contemporains » de son avancée !! Au premier abord, c’est surprenant, puis quand on apprendra que la fête durera trois jours et trois nuits, les inattentifs seront derechef excusés !! Reste que, sur ces coussins des conversations vont bon train ! Que le fil musical n’inter</w:t>
      </w:r>
      <w:r w:rsidR="00DA581B">
        <w:rPr>
          <w:rFonts w:cs="Times New Roman"/>
          <w:lang w:eastAsia="fr-FR"/>
        </w:rPr>
        <w:t xml:space="preserve">rompt pas les multiples fils de celles </w:t>
      </w:r>
      <w:r w:rsidRPr="003B2508">
        <w:rPr>
          <w:rFonts w:cs="Times New Roman"/>
          <w:lang w:eastAsia="fr-FR"/>
        </w:rPr>
        <w:t>qui s</w:t>
      </w:r>
      <w:r w:rsidR="00DA581B">
        <w:rPr>
          <w:rFonts w:cs="Times New Roman"/>
          <w:lang w:eastAsia="fr-FR"/>
        </w:rPr>
        <w:t>’y</w:t>
      </w:r>
      <w:r w:rsidRPr="003B2508">
        <w:rPr>
          <w:rFonts w:cs="Times New Roman"/>
          <w:lang w:eastAsia="fr-FR"/>
        </w:rPr>
        <w:t xml:space="preserve"> mènent. </w:t>
      </w:r>
    </w:p>
    <w:p w14:paraId="29272FD6" w14:textId="492CB80B" w:rsidR="003B2508" w:rsidRPr="003B2508" w:rsidRDefault="003B2508" w:rsidP="003E5932">
      <w:pPr>
        <w:spacing w:before="100" w:beforeAutospacing="1" w:after="100" w:afterAutospacing="1"/>
        <w:jc w:val="both"/>
        <w:rPr>
          <w:rFonts w:cs="Times New Roman"/>
          <w:lang w:eastAsia="fr-FR"/>
        </w:rPr>
      </w:pPr>
      <w:r w:rsidRPr="003B2508">
        <w:rPr>
          <w:rFonts w:cs="Times New Roman"/>
          <w:lang w:eastAsia="fr-FR"/>
        </w:rPr>
        <w:t>Deux considérations sont ici nécessaires pour rendre pensables cet établissement de continuité entre le fragmentaire et l’unisson</w:t>
      </w:r>
      <w:r w:rsidR="00637777">
        <w:rPr>
          <w:rFonts w:cs="Times New Roman"/>
          <w:lang w:eastAsia="fr-FR"/>
        </w:rPr>
        <w:t xml:space="preserve"> des attentions</w:t>
      </w:r>
      <w:r w:rsidRPr="003B2508">
        <w:rPr>
          <w:rFonts w:cs="Times New Roman"/>
          <w:lang w:eastAsia="fr-FR"/>
        </w:rPr>
        <w:t>.</w:t>
      </w:r>
    </w:p>
    <w:p w14:paraId="5F62E2C8" w14:textId="2B773D89" w:rsidR="003B2508" w:rsidRPr="003B2508" w:rsidRDefault="002C6163" w:rsidP="003E5932">
      <w:pPr>
        <w:spacing w:before="100" w:beforeAutospacing="1" w:after="100" w:afterAutospacing="1"/>
        <w:jc w:val="both"/>
        <w:rPr>
          <w:rFonts w:cs="Times New Roman"/>
          <w:lang w:eastAsia="fr-FR"/>
        </w:rPr>
      </w:pPr>
      <w:r>
        <w:rPr>
          <w:rFonts w:cs="Times New Roman"/>
          <w:lang w:eastAsia="fr-FR"/>
        </w:rPr>
        <w:tab/>
      </w:r>
      <w:r w:rsidR="003B2508" w:rsidRPr="003B2508">
        <w:rPr>
          <w:rFonts w:cs="Times New Roman"/>
          <w:lang w:eastAsia="fr-FR"/>
        </w:rPr>
        <w:t>Tout d’abord les cercles interactionnels sont bien « sous membrane » ; ils requièrent chacun d’être « dans » des conversations. Mais d’un autre coté, les « </w:t>
      </w:r>
      <w:proofErr w:type="spellStart"/>
      <w:r w:rsidR="003B2508" w:rsidRPr="003B2508">
        <w:rPr>
          <w:rFonts w:cs="Times New Roman"/>
          <w:lang w:eastAsia="fr-FR"/>
        </w:rPr>
        <w:t>topics</w:t>
      </w:r>
      <w:proofErr w:type="spellEnd"/>
      <w:r w:rsidR="003B2508" w:rsidRPr="003B2508">
        <w:rPr>
          <w:rFonts w:cs="Times New Roman"/>
          <w:lang w:eastAsia="fr-FR"/>
        </w:rPr>
        <w:t> », les « sujets » de conversations sont « à propos » de ce qui défile ! Le fil s’alimente de ce qui défile (sous les yeux des conversant). Les conver</w:t>
      </w:r>
      <w:r w:rsidR="00637777">
        <w:rPr>
          <w:rFonts w:cs="Times New Roman"/>
          <w:lang w:eastAsia="fr-FR"/>
        </w:rPr>
        <w:t>sations y fonctionnent comme autant d’</w:t>
      </w:r>
      <w:r w:rsidR="003B2508" w:rsidRPr="003B2508">
        <w:rPr>
          <w:rFonts w:cs="Times New Roman"/>
          <w:b/>
          <w:bCs/>
          <w:lang w:eastAsia="fr-FR"/>
        </w:rPr>
        <w:t xml:space="preserve">alvéoles </w:t>
      </w:r>
      <w:r w:rsidR="003B2508" w:rsidRPr="003B2508">
        <w:rPr>
          <w:rFonts w:cs="Times New Roman"/>
          <w:lang w:eastAsia="fr-FR"/>
        </w:rPr>
        <w:t>qui recueillent les flux passant et en extorquent du flux de commentaire</w:t>
      </w:r>
      <w:r w:rsidR="00637777">
        <w:rPr>
          <w:rFonts w:cs="Times New Roman"/>
          <w:lang w:eastAsia="fr-FR"/>
        </w:rPr>
        <w:t xml:space="preserve">s. Cela ne veut pas dire que ceux-ci </w:t>
      </w:r>
      <w:r w:rsidR="003B2508" w:rsidRPr="003B2508">
        <w:rPr>
          <w:rFonts w:cs="Times New Roman"/>
          <w:lang w:eastAsia="fr-FR"/>
        </w:rPr>
        <w:t xml:space="preserve">sont balayés par ces flux. En particulier, et c’est pourquoi on parle d’alvéoles, la porosité ménagée pour des flux entrants (l’interaction est branchée sur le monde environnant), se compense d’une imperméabilité quant aux flux sortants (et c’est pourquoi le concept de membrane est opérant). On s’y sait visible tout autant que voyant ; ou bien audible tout autant qu’écoutant ! On « filtre » donc les propos, attentif que l’on est à leur audibilité. </w:t>
      </w:r>
    </w:p>
    <w:p w14:paraId="6FA30748" w14:textId="77777777" w:rsidR="00FB74E0" w:rsidRDefault="002C6163" w:rsidP="003E5932">
      <w:pPr>
        <w:spacing w:before="100" w:beforeAutospacing="1" w:after="100" w:afterAutospacing="1"/>
        <w:jc w:val="both"/>
        <w:rPr>
          <w:rFonts w:cs="Times New Roman"/>
          <w:lang w:eastAsia="fr-FR"/>
        </w:rPr>
      </w:pPr>
      <w:r>
        <w:rPr>
          <w:rFonts w:cs="Times New Roman"/>
          <w:lang w:eastAsia="fr-FR"/>
        </w:rPr>
        <w:tab/>
        <w:t>Ensuite, l</w:t>
      </w:r>
      <w:r w:rsidR="003B2508" w:rsidRPr="003B2508">
        <w:rPr>
          <w:rFonts w:cs="Times New Roman"/>
          <w:lang w:eastAsia="fr-FR"/>
        </w:rPr>
        <w:t xml:space="preserve">es balayages perceptifs opérés du sein des « avec » (des groupes en conversation), tombent en général sur d’autres « avec » </w:t>
      </w:r>
      <w:r>
        <w:rPr>
          <w:rFonts w:cs="Times New Roman"/>
          <w:lang w:eastAsia="fr-FR"/>
        </w:rPr>
        <w:t xml:space="preserve">(des tablées) </w:t>
      </w:r>
      <w:r w:rsidR="003B2508" w:rsidRPr="003B2508">
        <w:rPr>
          <w:rFonts w:cs="Times New Roman"/>
          <w:lang w:eastAsia="fr-FR"/>
        </w:rPr>
        <w:t xml:space="preserve">balayant de concert et honorant ces attentions concertées par l’entretien de conversations. </w:t>
      </w:r>
    </w:p>
    <w:p w14:paraId="32714F96" w14:textId="30787FED" w:rsidR="003B2508" w:rsidRPr="003B2508" w:rsidRDefault="003B2508" w:rsidP="003E5932">
      <w:pPr>
        <w:spacing w:before="100" w:beforeAutospacing="1" w:after="100" w:afterAutospacing="1"/>
        <w:jc w:val="both"/>
        <w:rPr>
          <w:rFonts w:cs="Times New Roman"/>
          <w:lang w:eastAsia="fr-FR"/>
        </w:rPr>
      </w:pPr>
      <w:r w:rsidRPr="003B2508">
        <w:rPr>
          <w:rFonts w:cs="Times New Roman"/>
          <w:lang w:eastAsia="fr-FR"/>
        </w:rPr>
        <w:t xml:space="preserve">Il </w:t>
      </w:r>
      <w:r w:rsidR="00DA581B">
        <w:rPr>
          <w:rFonts w:cs="Times New Roman"/>
          <w:lang w:eastAsia="fr-FR"/>
        </w:rPr>
        <w:t xml:space="preserve">peut </w:t>
      </w:r>
      <w:r w:rsidRPr="003B2508">
        <w:rPr>
          <w:rFonts w:cs="Times New Roman"/>
          <w:lang w:eastAsia="fr-FR"/>
        </w:rPr>
        <w:t>arrive</w:t>
      </w:r>
      <w:r w:rsidR="00DA581B">
        <w:rPr>
          <w:rFonts w:cs="Times New Roman"/>
          <w:lang w:eastAsia="fr-FR"/>
        </w:rPr>
        <w:t>r</w:t>
      </w:r>
      <w:r w:rsidRPr="003B2508">
        <w:rPr>
          <w:rFonts w:cs="Times New Roman"/>
          <w:lang w:eastAsia="fr-FR"/>
        </w:rPr>
        <w:t xml:space="preserve"> alors que ce ne soit plus le cas ...</w:t>
      </w:r>
      <w:r w:rsidR="00FB74E0">
        <w:rPr>
          <w:rFonts w:cs="Times New Roman"/>
          <w:lang w:eastAsia="fr-FR"/>
        </w:rPr>
        <w:t xml:space="preserve"> </w:t>
      </w:r>
      <w:r w:rsidRPr="00941A6A">
        <w:rPr>
          <w:rFonts w:cs="Times New Roman"/>
          <w:bCs/>
          <w:lang w:eastAsia="fr-FR"/>
        </w:rPr>
        <w:t xml:space="preserve">Que, dans ce qui s’observe du sein d’un groupe, on prenne dans son champ de vision et d’audition  une sorte d’estompe de la membrane interactionnelle des groupes voisins. Ils ont cessé d’être les contemporains d’un fil discursif. Ils ont muté ; ils sont tous </w:t>
      </w:r>
      <w:r w:rsidR="00FB74E0" w:rsidRPr="00941A6A">
        <w:rPr>
          <w:rFonts w:cs="Times New Roman"/>
          <w:bCs/>
          <w:lang w:eastAsia="fr-FR"/>
        </w:rPr>
        <w:t xml:space="preserve">à tout </w:t>
      </w:r>
      <w:r w:rsidRPr="00941A6A">
        <w:rPr>
          <w:rFonts w:cs="Times New Roman"/>
          <w:bCs/>
          <w:lang w:eastAsia="fr-FR"/>
        </w:rPr>
        <w:t xml:space="preserve">autre chose, et qui est ce fil musical qui n’a </w:t>
      </w:r>
      <w:r w:rsidR="00FB74E0" w:rsidRPr="00941A6A">
        <w:rPr>
          <w:rFonts w:cs="Times New Roman"/>
          <w:bCs/>
          <w:lang w:eastAsia="fr-FR"/>
        </w:rPr>
        <w:t xml:space="preserve">jamais </w:t>
      </w:r>
      <w:r w:rsidRPr="00941A6A">
        <w:rPr>
          <w:rFonts w:cs="Times New Roman"/>
          <w:bCs/>
          <w:lang w:eastAsia="fr-FR"/>
        </w:rPr>
        <w:t>cessé et dans lequel enfin ils entrent</w:t>
      </w:r>
      <w:r w:rsidRPr="003B2508">
        <w:rPr>
          <w:rFonts w:cs="Times New Roman"/>
          <w:lang w:eastAsia="fr-FR"/>
        </w:rPr>
        <w:t xml:space="preserve">. </w:t>
      </w:r>
      <w:r w:rsidR="00FB74E0">
        <w:rPr>
          <w:rFonts w:cs="Times New Roman"/>
          <w:lang w:eastAsia="fr-FR"/>
        </w:rPr>
        <w:t>Ainsi, de proche en proche se produira</w:t>
      </w:r>
      <w:r w:rsidRPr="003B2508">
        <w:rPr>
          <w:rFonts w:cs="Times New Roman"/>
          <w:lang w:eastAsia="fr-FR"/>
        </w:rPr>
        <w:t xml:space="preserve"> une </w:t>
      </w:r>
      <w:r w:rsidRPr="00941A6A">
        <w:rPr>
          <w:rFonts w:cs="Times New Roman"/>
          <w:bCs/>
          <w:lang w:eastAsia="fr-FR"/>
        </w:rPr>
        <w:t>conversion</w:t>
      </w:r>
      <w:r w:rsidRPr="003B2508">
        <w:rPr>
          <w:rFonts w:cs="Times New Roman"/>
          <w:lang w:eastAsia="fr-FR"/>
        </w:rPr>
        <w:t xml:space="preserve"> des attentions, passant du dispersé au focalisé.  </w:t>
      </w:r>
    </w:p>
    <w:p w14:paraId="40070742" w14:textId="6BF86B00" w:rsidR="003B2508" w:rsidRPr="00DA581B" w:rsidRDefault="00DA581B" w:rsidP="003E5932">
      <w:pPr>
        <w:spacing w:before="100" w:beforeAutospacing="1" w:after="100" w:afterAutospacing="1"/>
        <w:jc w:val="both"/>
        <w:rPr>
          <w:rFonts w:cs="Times New Roman"/>
          <w:b/>
          <w:lang w:eastAsia="fr-FR"/>
        </w:rPr>
      </w:pPr>
      <w:r w:rsidRPr="00DA581B">
        <w:rPr>
          <w:rFonts w:cs="Times New Roman"/>
          <w:b/>
          <w:lang w:eastAsia="fr-FR"/>
        </w:rPr>
        <w:t>Conclusion</w:t>
      </w:r>
    </w:p>
    <w:p w14:paraId="13A8B1BE" w14:textId="3D148614" w:rsidR="00941A6A" w:rsidRDefault="00941A6A" w:rsidP="003E5932">
      <w:pPr>
        <w:jc w:val="both"/>
      </w:pPr>
      <w:r w:rsidRPr="003E5932">
        <w:rPr>
          <w:highlight w:val="yellow"/>
        </w:rPr>
        <w:t xml:space="preserve">Ce à quoi nous prêtons nos oreilles peut donc nous être suggéré par d’autres ... oreilles. Ici nous ne sommes pas du tout dans le cas d’un message verbal du type « est-ce que tu entends ce que j’entend », motivant une mise à l’écoute sur le mode de l’alerte. Non seulement parce qu’il y irait là d’une alerte positive (ce qui nous arrive souvent !), mais surtout parce que l’alerte désigne une action trop ajustée avec, d’un coté, son lanceur, et de l’autre une cible réceptrice. Toute alerte porte sur un </w:t>
      </w:r>
      <w:r w:rsidR="00637777" w:rsidRPr="003E5932">
        <w:rPr>
          <w:highlight w:val="yellow"/>
        </w:rPr>
        <w:t>« </w:t>
      </w:r>
      <w:r w:rsidRPr="003E5932">
        <w:rPr>
          <w:highlight w:val="yellow"/>
        </w:rPr>
        <w:t>quoi</w:t>
      </w:r>
      <w:r w:rsidR="00637777" w:rsidRPr="003E5932">
        <w:rPr>
          <w:highlight w:val="yellow"/>
        </w:rPr>
        <w:t> »</w:t>
      </w:r>
      <w:r w:rsidRPr="003E5932">
        <w:rPr>
          <w:highlight w:val="yellow"/>
        </w:rPr>
        <w:t>, offert à une attention, s’ouvrant ainsi comme une prise de surplomb dans un flux événementiel</w:t>
      </w:r>
      <w:r w:rsidRPr="003E5932">
        <w:rPr>
          <w:rStyle w:val="Marquenotebasdepage"/>
          <w:highlight w:val="yellow"/>
        </w:rPr>
        <w:footnoteReference w:id="8"/>
      </w:r>
      <w:r w:rsidRPr="003E5932">
        <w:rPr>
          <w:highlight w:val="yellow"/>
        </w:rPr>
        <w:t>, ce qui n’est pas le cas ici. Parlerait-on alors « d’alarme » (et positive en l’occurrence) ? Un détour par une approche de type « sémantique adverbiale » - c’est à dire sensible à la force du verbe sur ses compléments (de sujet aussi bien que d’objet) pourrait autoriser ce glissement</w:t>
      </w:r>
      <w:r w:rsidRPr="003E5932">
        <w:rPr>
          <w:rStyle w:val="Marquenotebasdepage"/>
          <w:highlight w:val="yellow"/>
        </w:rPr>
        <w:footnoteReference w:id="9"/>
      </w:r>
      <w:r w:rsidRPr="003E5932">
        <w:rPr>
          <w:highlight w:val="yellow"/>
        </w:rPr>
        <w:t>. Ainsi l’usage du verbe « alerter » s’il laisse attendre un « quelqu’un » comme son destinataire, prohibe pourtant un complément du type « pour quelqu’un ». Au lieu que « alarmer » non seulement l’autorise mais le sélectionne : on s’alarme en général pour quelqu’un. Cette différence syntaxique signale alors que ce qui circule entre le sujet et ses destinataires est moins de l’ordre d’une information que d’une émotion. L’alarme fonctionne ainsi comme une offre d’émotion, comme l’affirmation de son partage entre ses parties prenantes. Elle est transit entre des « pathos ». Mais un transit porté ici par la situation et qui vient estomper le contigu interactionnel dans une contagion d’ensemble.</w:t>
      </w:r>
    </w:p>
    <w:p w14:paraId="49B792E6" w14:textId="1BA04EDE" w:rsidR="00941A6A" w:rsidRPr="003B2508" w:rsidRDefault="00941A6A" w:rsidP="003E5932">
      <w:pPr>
        <w:spacing w:before="100" w:beforeAutospacing="1" w:after="100" w:afterAutospacing="1"/>
        <w:jc w:val="both"/>
        <w:rPr>
          <w:rFonts w:cs="Times New Roman"/>
          <w:lang w:eastAsia="fr-FR"/>
        </w:rPr>
      </w:pPr>
      <w:r w:rsidRPr="003B2508">
        <w:rPr>
          <w:rFonts w:cs="Times New Roman"/>
          <w:lang w:eastAsia="fr-FR"/>
        </w:rPr>
        <w:t xml:space="preserve">Reprenons : ce n’est donc pas que quelqu’un attire l’attention de quelqu’un d’autre </w:t>
      </w:r>
      <w:r>
        <w:rPr>
          <w:rFonts w:cs="Times New Roman"/>
          <w:lang w:eastAsia="fr-FR"/>
        </w:rPr>
        <w:t>sur quelque chose. Il n’y a</w:t>
      </w:r>
      <w:r w:rsidRPr="003B2508">
        <w:rPr>
          <w:rFonts w:cs="Times New Roman"/>
          <w:lang w:eastAsia="fr-FR"/>
        </w:rPr>
        <w:t xml:space="preserve"> pas de consigne active </w:t>
      </w:r>
      <w:r>
        <w:rPr>
          <w:rFonts w:cs="Times New Roman"/>
          <w:lang w:eastAsia="fr-FR"/>
        </w:rPr>
        <w:t>d’ajustement des attentions.</w:t>
      </w:r>
      <w:r w:rsidRPr="003B2508">
        <w:rPr>
          <w:rFonts w:cs="Times New Roman"/>
          <w:lang w:eastAsia="fr-FR"/>
        </w:rPr>
        <w:t xml:space="preserve"> Il y a plutôt une </w:t>
      </w:r>
      <w:r w:rsidRPr="002466F4">
        <w:rPr>
          <w:rFonts w:cs="Times New Roman"/>
          <w:bCs/>
          <w:lang w:eastAsia="fr-FR"/>
        </w:rPr>
        <w:t>poussée</w:t>
      </w:r>
      <w:r w:rsidRPr="003B2508">
        <w:rPr>
          <w:rFonts w:cs="Times New Roman"/>
          <w:b/>
          <w:bCs/>
          <w:lang w:eastAsia="fr-FR"/>
        </w:rPr>
        <w:t xml:space="preserve"> </w:t>
      </w:r>
      <w:r>
        <w:rPr>
          <w:rFonts w:cs="Times New Roman"/>
          <w:lang w:eastAsia="fr-FR"/>
        </w:rPr>
        <w:t>latérale diffuse enregistrant</w:t>
      </w:r>
      <w:r w:rsidRPr="003B2508">
        <w:rPr>
          <w:rFonts w:cs="Times New Roman"/>
          <w:lang w:eastAsia="fr-FR"/>
        </w:rPr>
        <w:t xml:space="preserve">, </w:t>
      </w:r>
      <w:r w:rsidRPr="002466F4">
        <w:rPr>
          <w:rFonts w:cs="Times New Roman"/>
          <w:bCs/>
          <w:lang w:eastAsia="fr-FR"/>
        </w:rPr>
        <w:t>passivement</w:t>
      </w:r>
      <w:r w:rsidRPr="003B2508">
        <w:rPr>
          <w:rFonts w:cs="Times New Roman"/>
          <w:b/>
          <w:bCs/>
          <w:lang w:eastAsia="fr-FR"/>
        </w:rPr>
        <w:t>,</w:t>
      </w:r>
      <w:r w:rsidRPr="003B2508">
        <w:rPr>
          <w:rFonts w:cs="Times New Roman"/>
          <w:lang w:eastAsia="fr-FR"/>
        </w:rPr>
        <w:t xml:space="preserve"> un différentiel de tonus dans</w:t>
      </w:r>
      <w:r>
        <w:rPr>
          <w:rFonts w:cs="Times New Roman"/>
          <w:lang w:eastAsia="fr-FR"/>
        </w:rPr>
        <w:t xml:space="preserve"> les parages propres des</w:t>
      </w:r>
      <w:r w:rsidRPr="003B2508">
        <w:rPr>
          <w:rFonts w:cs="Times New Roman"/>
          <w:lang w:eastAsia="fr-FR"/>
        </w:rPr>
        <w:t xml:space="preserve"> interaction</w:t>
      </w:r>
      <w:r>
        <w:rPr>
          <w:rFonts w:cs="Times New Roman"/>
          <w:lang w:eastAsia="fr-FR"/>
        </w:rPr>
        <w:t>s, les</w:t>
      </w:r>
      <w:r w:rsidRPr="003B2508">
        <w:rPr>
          <w:rFonts w:cs="Times New Roman"/>
          <w:lang w:eastAsia="fr-FR"/>
        </w:rPr>
        <w:t>quelle</w:t>
      </w:r>
      <w:r>
        <w:rPr>
          <w:rFonts w:cs="Times New Roman"/>
          <w:lang w:eastAsia="fr-FR"/>
        </w:rPr>
        <w:t>s</w:t>
      </w:r>
      <w:r w:rsidRPr="003B2508">
        <w:rPr>
          <w:rFonts w:cs="Times New Roman"/>
          <w:lang w:eastAsia="fr-FR"/>
        </w:rPr>
        <w:t xml:space="preserve"> « reçoi</w:t>
      </w:r>
      <w:r>
        <w:rPr>
          <w:rFonts w:cs="Times New Roman"/>
          <w:lang w:eastAsia="fr-FR"/>
        </w:rPr>
        <w:t>ven</w:t>
      </w:r>
      <w:r w:rsidRPr="003B2508">
        <w:rPr>
          <w:rFonts w:cs="Times New Roman"/>
          <w:lang w:eastAsia="fr-FR"/>
        </w:rPr>
        <w:t xml:space="preserve">t » en quelque sorte cette nouvelle </w:t>
      </w:r>
      <w:r w:rsidRPr="002466F4">
        <w:rPr>
          <w:rFonts w:cs="Times New Roman"/>
          <w:bCs/>
          <w:lang w:eastAsia="fr-FR"/>
        </w:rPr>
        <w:t>tonalit</w:t>
      </w:r>
      <w:r w:rsidRPr="002466F4">
        <w:rPr>
          <w:rFonts w:cs="Times New Roman"/>
          <w:lang w:eastAsia="fr-FR"/>
        </w:rPr>
        <w:t>é</w:t>
      </w:r>
      <w:r>
        <w:rPr>
          <w:rFonts w:cs="Times New Roman"/>
          <w:lang w:eastAsia="fr-FR"/>
        </w:rPr>
        <w:t xml:space="preserve"> ambiante,</w:t>
      </w:r>
      <w:r w:rsidRPr="003B2508">
        <w:rPr>
          <w:rFonts w:cs="Times New Roman"/>
          <w:lang w:eastAsia="fr-FR"/>
        </w:rPr>
        <w:t xml:space="preserve"> puis s’y ajuste</w:t>
      </w:r>
      <w:r w:rsidR="00490F3B">
        <w:rPr>
          <w:rFonts w:cs="Times New Roman"/>
          <w:lang w:eastAsia="fr-FR"/>
        </w:rPr>
        <w:t>nt. Pour enfin, s’y ajustant, venir</w:t>
      </w:r>
      <w:r>
        <w:rPr>
          <w:rFonts w:cs="Times New Roman"/>
          <w:lang w:eastAsia="fr-FR"/>
        </w:rPr>
        <w:t xml:space="preserve"> apporter leurs filets à la cascade sonore résult</w:t>
      </w:r>
      <w:r w:rsidRPr="003B2508">
        <w:rPr>
          <w:rFonts w:cs="Times New Roman"/>
          <w:lang w:eastAsia="fr-FR"/>
        </w:rPr>
        <w:t>ante.</w:t>
      </w:r>
    </w:p>
    <w:p w14:paraId="228B6955" w14:textId="61671938" w:rsidR="00941A6A" w:rsidRPr="003B2508" w:rsidRDefault="00941A6A" w:rsidP="003E5932">
      <w:pPr>
        <w:spacing w:before="100" w:beforeAutospacing="1" w:after="100" w:afterAutospacing="1"/>
        <w:jc w:val="both"/>
        <w:rPr>
          <w:rFonts w:cs="Times New Roman"/>
          <w:lang w:eastAsia="fr-FR"/>
        </w:rPr>
      </w:pPr>
      <w:r w:rsidRPr="003B2508">
        <w:rPr>
          <w:rFonts w:cs="Times New Roman"/>
          <w:lang w:eastAsia="fr-FR"/>
        </w:rPr>
        <w:t xml:space="preserve">C’est qu’en effet </w:t>
      </w:r>
      <w:r w:rsidRPr="003B2508">
        <w:t xml:space="preserve">ces </w:t>
      </w:r>
      <w:r>
        <w:t xml:space="preserve">cellules interactionnelles, </w:t>
      </w:r>
      <w:r w:rsidRPr="003B2508">
        <w:t>sortes de « grumeaux » p</w:t>
      </w:r>
      <w:r>
        <w:t>ris dans la soupe de la fête</w:t>
      </w:r>
      <w:r w:rsidRPr="003B2508">
        <w:t>, réverbèreront alors dans leurs alvéoles propres (l</w:t>
      </w:r>
      <w:r w:rsidR="00490F3B">
        <w:t>eurs « chambrées »</w:t>
      </w:r>
      <w:r w:rsidRPr="003B2508">
        <w:t xml:space="preserve">), le pouls, la poussée musicale qui émane de l’espace central du kiosque. </w:t>
      </w:r>
      <w:r>
        <w:t>De fait, ces replis alvéolaires qui réfractent</w:t>
      </w:r>
      <w:r w:rsidRPr="003B2508">
        <w:t xml:space="preserve"> chacun à leur manière le son ambiant, on peut bien les décrire comme les </w:t>
      </w:r>
      <w:r w:rsidRPr="002466F4">
        <w:t>poches d’une éponge</w:t>
      </w:r>
      <w:r w:rsidRPr="003B2508">
        <w:t>. Une « éponge à ambiance » si l’on veut. L’air s’emplira alors des sonorité</w:t>
      </w:r>
      <w:r>
        <w:t>s des multiples conciliabules exprimant</w:t>
      </w:r>
      <w:r w:rsidRPr="003B2508">
        <w:t xml:space="preserve"> (comme le font les éponges,</w:t>
      </w:r>
      <w:r w:rsidR="00637777">
        <w:t xml:space="preserve"> donc) la pression musicale, </w:t>
      </w:r>
      <w:r w:rsidRPr="003B2508">
        <w:t xml:space="preserve">produisant ainsi un effet résultant de </w:t>
      </w:r>
      <w:r w:rsidRPr="002466F4">
        <w:t>vasque</w:t>
      </w:r>
      <w:r w:rsidRPr="003B2508">
        <w:t>, dont l’orchestre central ne fera plus alors que scander les pulsions.</w:t>
      </w:r>
    </w:p>
    <w:p w14:paraId="15A2C7AA" w14:textId="6F84D6B1" w:rsidR="00D72D8F" w:rsidRDefault="003E5932" w:rsidP="003E5932">
      <w:pPr>
        <w:jc w:val="both"/>
      </w:pPr>
      <w:r>
        <w:t>JSB</w:t>
      </w:r>
    </w:p>
    <w:sectPr w:rsidR="00D72D8F" w:rsidSect="003C709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D462D9" w14:textId="77777777" w:rsidR="00637777" w:rsidRDefault="00637777" w:rsidP="003B2508">
      <w:pPr>
        <w:spacing w:after="0"/>
      </w:pPr>
      <w:r>
        <w:separator/>
      </w:r>
    </w:p>
  </w:endnote>
  <w:endnote w:type="continuationSeparator" w:id="0">
    <w:p w14:paraId="6462E823" w14:textId="77777777" w:rsidR="00637777" w:rsidRDefault="00637777" w:rsidP="003B25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D27949" w14:textId="77777777" w:rsidR="00637777" w:rsidRDefault="00637777" w:rsidP="003B2508">
      <w:pPr>
        <w:spacing w:after="0"/>
      </w:pPr>
      <w:r>
        <w:separator/>
      </w:r>
    </w:p>
  </w:footnote>
  <w:footnote w:type="continuationSeparator" w:id="0">
    <w:p w14:paraId="66770A73" w14:textId="77777777" w:rsidR="00637777" w:rsidRDefault="00637777" w:rsidP="003B2508">
      <w:pPr>
        <w:spacing w:after="0"/>
      </w:pPr>
      <w:r>
        <w:continuationSeparator/>
      </w:r>
    </w:p>
  </w:footnote>
  <w:footnote w:id="1">
    <w:p w14:paraId="5C80AFFF" w14:textId="77777777" w:rsidR="00637777" w:rsidRPr="001B51A7" w:rsidRDefault="00637777">
      <w:pPr>
        <w:pStyle w:val="Notedebasdepage"/>
        <w:rPr>
          <w:sz w:val="20"/>
          <w:szCs w:val="20"/>
        </w:rPr>
      </w:pPr>
      <w:r w:rsidRPr="001B51A7">
        <w:rPr>
          <w:rStyle w:val="Marquenotebasdepage"/>
          <w:sz w:val="20"/>
          <w:szCs w:val="20"/>
        </w:rPr>
        <w:footnoteRef/>
      </w:r>
      <w:r w:rsidRPr="001B51A7">
        <w:rPr>
          <w:sz w:val="20"/>
          <w:szCs w:val="20"/>
        </w:rPr>
        <w:t xml:space="preserve"> </w:t>
      </w:r>
      <w:proofErr w:type="spellStart"/>
      <w:r w:rsidRPr="001B51A7">
        <w:rPr>
          <w:sz w:val="20"/>
          <w:szCs w:val="20"/>
        </w:rPr>
        <w:t>Pisciotta</w:t>
      </w:r>
      <w:proofErr w:type="spellEnd"/>
      <w:r w:rsidRPr="001B51A7">
        <w:rPr>
          <w:sz w:val="20"/>
          <w:szCs w:val="20"/>
        </w:rPr>
        <w:t xml:space="preserve">, en l’occurrence, situé au sud de Naples dans le </w:t>
      </w:r>
      <w:proofErr w:type="spellStart"/>
      <w:r w:rsidRPr="001B51A7">
        <w:rPr>
          <w:sz w:val="20"/>
          <w:szCs w:val="20"/>
        </w:rPr>
        <w:t>Cilento</w:t>
      </w:r>
      <w:proofErr w:type="spellEnd"/>
      <w:r w:rsidRPr="001B51A7">
        <w:rPr>
          <w:sz w:val="20"/>
          <w:szCs w:val="20"/>
        </w:rPr>
        <w:t>.</w:t>
      </w:r>
    </w:p>
  </w:footnote>
  <w:footnote w:id="2">
    <w:p w14:paraId="723773C1" w14:textId="75F44D2D" w:rsidR="00637777" w:rsidRDefault="00637777">
      <w:pPr>
        <w:pStyle w:val="Notedebasdepage"/>
      </w:pPr>
      <w:r>
        <w:rPr>
          <w:rStyle w:val="Marquenotebasdepage"/>
        </w:rPr>
        <w:footnoteRef/>
      </w:r>
      <w:r>
        <w:t xml:space="preserve"> </w:t>
      </w:r>
      <w:r w:rsidRPr="0045300C">
        <w:rPr>
          <w:sz w:val="20"/>
          <w:szCs w:val="20"/>
        </w:rPr>
        <w:t>Saint Roch</w:t>
      </w:r>
    </w:p>
  </w:footnote>
  <w:footnote w:id="3">
    <w:p w14:paraId="4FECB070" w14:textId="77777777" w:rsidR="00637777" w:rsidRPr="001B51A7" w:rsidRDefault="00637777" w:rsidP="003B2508">
      <w:pPr>
        <w:pStyle w:val="Notedebasdepage"/>
        <w:rPr>
          <w:sz w:val="20"/>
          <w:szCs w:val="20"/>
        </w:rPr>
      </w:pPr>
      <w:r w:rsidRPr="001B51A7">
        <w:rPr>
          <w:rStyle w:val="Marquenotebasdepage"/>
          <w:sz w:val="20"/>
          <w:szCs w:val="20"/>
        </w:rPr>
        <w:footnoteRef/>
      </w:r>
      <w:r w:rsidRPr="001B51A7">
        <w:rPr>
          <w:sz w:val="20"/>
          <w:szCs w:val="20"/>
        </w:rPr>
        <w:t xml:space="preserve"> Sauter une étape d’une telle conversation est en général mal vu par les autres participants …</w:t>
      </w:r>
    </w:p>
  </w:footnote>
  <w:footnote w:id="4">
    <w:p w14:paraId="46399A9E" w14:textId="6C74CD12" w:rsidR="00637777" w:rsidRPr="001B51A7" w:rsidRDefault="00637777" w:rsidP="003B2508">
      <w:pPr>
        <w:pStyle w:val="Notedebasdepage"/>
        <w:rPr>
          <w:sz w:val="20"/>
          <w:szCs w:val="20"/>
        </w:rPr>
      </w:pPr>
      <w:r w:rsidRPr="001B51A7">
        <w:rPr>
          <w:rStyle w:val="Marquenotebasdepage"/>
          <w:sz w:val="20"/>
          <w:szCs w:val="20"/>
        </w:rPr>
        <w:footnoteRef/>
      </w:r>
      <w:r w:rsidRPr="001B51A7">
        <w:rPr>
          <w:sz w:val="20"/>
          <w:szCs w:val="20"/>
        </w:rPr>
        <w:t xml:space="preserve"> On s’appuie ici sur une intuition forte </w:t>
      </w:r>
      <w:r>
        <w:rPr>
          <w:sz w:val="20"/>
          <w:szCs w:val="20"/>
        </w:rPr>
        <w:t xml:space="preserve">de Gabriel Tarde (Gabriel Tarde, </w:t>
      </w:r>
      <w:r w:rsidRPr="0045300C">
        <w:rPr>
          <w:i/>
          <w:sz w:val="20"/>
          <w:szCs w:val="20"/>
        </w:rPr>
        <w:t>L’opinion et la foule</w:t>
      </w:r>
      <w:r>
        <w:rPr>
          <w:sz w:val="20"/>
          <w:szCs w:val="20"/>
        </w:rPr>
        <w:t xml:space="preserve">, Paris, PUF) </w:t>
      </w:r>
      <w:r w:rsidRPr="001B51A7">
        <w:rPr>
          <w:sz w:val="20"/>
          <w:szCs w:val="20"/>
        </w:rPr>
        <w:t>qui insiste sur la dimension de contemporanéité présente dans toute constitution de public, au point même que la proximité spatiale ne fait, en quelque sorte « plus le poids ». Ainsi parlera-t-il, bien avant l’émergence du numérique de « communautés virtuelles » et/ou « imaginaires. De fait, chaque fois que l’on lit un journal, on sait bien qu’on n’est pas le seul à le lire. Et ainsi, attenant à la lecture du dit journal il y a ce sens qui pénètre par effraction, d’appartenir latéralement à une communauté de destinataires.</w:t>
      </w:r>
      <w:r>
        <w:rPr>
          <w:sz w:val="20"/>
          <w:szCs w:val="20"/>
        </w:rPr>
        <w:t xml:space="preserve"> </w:t>
      </w:r>
    </w:p>
  </w:footnote>
  <w:footnote w:id="5">
    <w:p w14:paraId="6155438C" w14:textId="58699F77" w:rsidR="00637777" w:rsidRPr="001B51A7" w:rsidRDefault="00637777" w:rsidP="004C79F5">
      <w:pPr>
        <w:rPr>
          <w:rFonts w:ascii="Times" w:eastAsia="Times New Roman" w:hAnsi="Times" w:cs="Times New Roman"/>
          <w:sz w:val="20"/>
          <w:szCs w:val="20"/>
          <w:lang w:eastAsia="fr-FR"/>
        </w:rPr>
      </w:pPr>
      <w:r w:rsidRPr="001B51A7">
        <w:rPr>
          <w:rStyle w:val="Marquenotebasdepage"/>
          <w:sz w:val="20"/>
          <w:szCs w:val="20"/>
        </w:rPr>
        <w:footnoteRef/>
      </w:r>
      <w:r w:rsidRPr="001B51A7">
        <w:rPr>
          <w:sz w:val="20"/>
          <w:szCs w:val="20"/>
        </w:rPr>
        <w:t xml:space="preserve"> Voir de cet auteur, « The </w:t>
      </w:r>
      <w:proofErr w:type="spellStart"/>
      <w:r w:rsidRPr="001B51A7">
        <w:rPr>
          <w:sz w:val="20"/>
          <w:szCs w:val="20"/>
        </w:rPr>
        <w:t>Temporality</w:t>
      </w:r>
      <w:proofErr w:type="spellEnd"/>
      <w:r w:rsidRPr="001B51A7">
        <w:rPr>
          <w:sz w:val="20"/>
          <w:szCs w:val="20"/>
        </w:rPr>
        <w:t xml:space="preserve"> of the </w:t>
      </w:r>
      <w:proofErr w:type="spellStart"/>
      <w:r w:rsidRPr="001B51A7">
        <w:rPr>
          <w:sz w:val="20"/>
          <w:szCs w:val="20"/>
        </w:rPr>
        <w:t>Landscape</w:t>
      </w:r>
      <w:proofErr w:type="spellEnd"/>
      <w:r w:rsidRPr="001B51A7">
        <w:rPr>
          <w:sz w:val="20"/>
          <w:szCs w:val="20"/>
        </w:rPr>
        <w:t xml:space="preserve"> » ;  </w:t>
      </w:r>
      <w:r w:rsidRPr="00490F3B">
        <w:rPr>
          <w:i/>
          <w:sz w:val="20"/>
          <w:szCs w:val="20"/>
        </w:rPr>
        <w:t>Wor</w:t>
      </w:r>
      <w:r>
        <w:rPr>
          <w:i/>
          <w:sz w:val="20"/>
          <w:szCs w:val="20"/>
        </w:rPr>
        <w:t>l</w:t>
      </w:r>
      <w:r w:rsidRPr="00490F3B">
        <w:rPr>
          <w:i/>
          <w:sz w:val="20"/>
          <w:szCs w:val="20"/>
        </w:rPr>
        <w:t xml:space="preserve">d </w:t>
      </w:r>
      <w:proofErr w:type="spellStart"/>
      <w:r w:rsidRPr="00490F3B">
        <w:rPr>
          <w:i/>
          <w:sz w:val="20"/>
          <w:szCs w:val="20"/>
        </w:rPr>
        <w:t>Archaeology</w:t>
      </w:r>
      <w:proofErr w:type="spellEnd"/>
      <w:r w:rsidRPr="00490F3B">
        <w:rPr>
          <w:i/>
          <w:sz w:val="20"/>
          <w:szCs w:val="20"/>
        </w:rPr>
        <w:t>,</w:t>
      </w:r>
      <w:r w:rsidRPr="001B51A7">
        <w:rPr>
          <w:sz w:val="20"/>
          <w:szCs w:val="20"/>
        </w:rPr>
        <w:t xml:space="preserve"> Vol. 25, N°2, </w:t>
      </w:r>
      <w:proofErr w:type="spellStart"/>
      <w:r w:rsidRPr="001B51A7">
        <w:rPr>
          <w:sz w:val="20"/>
          <w:szCs w:val="20"/>
        </w:rPr>
        <w:t>Oct</w:t>
      </w:r>
      <w:proofErr w:type="spellEnd"/>
      <w:r w:rsidRPr="001B51A7">
        <w:rPr>
          <w:sz w:val="20"/>
          <w:szCs w:val="20"/>
        </w:rPr>
        <w:t xml:space="preserve"> 1993</w:t>
      </w:r>
      <w:r w:rsidRPr="001B51A7">
        <w:rPr>
          <w:rFonts w:ascii="Times" w:eastAsia="Times New Roman" w:hAnsi="Symbol" w:cs="Times New Roman"/>
          <w:sz w:val="20"/>
          <w:szCs w:val="20"/>
          <w:lang w:eastAsia="fr-FR"/>
        </w:rPr>
        <w:t></w:t>
      </w:r>
    </w:p>
    <w:p w14:paraId="75A3F00F" w14:textId="77777777" w:rsidR="00637777" w:rsidRPr="001B51A7" w:rsidRDefault="00637777" w:rsidP="004C79F5">
      <w:pPr>
        <w:pStyle w:val="Notedebasdepage"/>
        <w:rPr>
          <w:sz w:val="20"/>
          <w:szCs w:val="20"/>
        </w:rPr>
      </w:pPr>
    </w:p>
  </w:footnote>
  <w:footnote w:id="6">
    <w:p w14:paraId="676679A3" w14:textId="42941FEA" w:rsidR="00637777" w:rsidRPr="001B51A7" w:rsidRDefault="00637777" w:rsidP="000817CF">
      <w:pPr>
        <w:rPr>
          <w:sz w:val="20"/>
          <w:szCs w:val="20"/>
        </w:rPr>
      </w:pPr>
      <w:r w:rsidRPr="001B51A7">
        <w:rPr>
          <w:rStyle w:val="Marquenotebasdepage"/>
          <w:sz w:val="20"/>
          <w:szCs w:val="20"/>
        </w:rPr>
        <w:footnoteRef/>
      </w:r>
      <w:r w:rsidRPr="001B51A7">
        <w:rPr>
          <w:sz w:val="20"/>
          <w:szCs w:val="20"/>
        </w:rPr>
        <w:t xml:space="preserve"> Cette interprétation est toutefois personnelle et diverge de l’intention conceptuelle de Tim Ingold. Pour lui (comme i</w:t>
      </w:r>
      <w:r>
        <w:rPr>
          <w:sz w:val="20"/>
          <w:szCs w:val="20"/>
        </w:rPr>
        <w:t>l le signifie par deux fois, in </w:t>
      </w:r>
      <w:proofErr w:type="gramStart"/>
      <w:r>
        <w:rPr>
          <w:sz w:val="20"/>
          <w:szCs w:val="20"/>
        </w:rPr>
        <w:t>:</w:t>
      </w:r>
      <w:r w:rsidRPr="001B51A7">
        <w:rPr>
          <w:sz w:val="20"/>
          <w:szCs w:val="20"/>
        </w:rPr>
        <w:t>Tim</w:t>
      </w:r>
      <w:proofErr w:type="gramEnd"/>
      <w:r w:rsidRPr="001B51A7">
        <w:rPr>
          <w:sz w:val="20"/>
          <w:szCs w:val="20"/>
        </w:rPr>
        <w:t xml:space="preserve"> Ingold, </w:t>
      </w:r>
      <w:proofErr w:type="spellStart"/>
      <w:r w:rsidRPr="00490F3B">
        <w:rPr>
          <w:i/>
          <w:sz w:val="20"/>
          <w:szCs w:val="20"/>
        </w:rPr>
        <w:t>Being</w:t>
      </w:r>
      <w:proofErr w:type="spellEnd"/>
      <w:r w:rsidRPr="00490F3B">
        <w:rPr>
          <w:i/>
          <w:sz w:val="20"/>
          <w:szCs w:val="20"/>
        </w:rPr>
        <w:t xml:space="preserve"> Alive</w:t>
      </w:r>
      <w:r>
        <w:rPr>
          <w:sz w:val="20"/>
          <w:szCs w:val="20"/>
        </w:rPr>
        <w:t xml:space="preserve"> (London, Routledge,2007), 126 et 133</w:t>
      </w:r>
      <w:r w:rsidRPr="001B51A7">
        <w:rPr>
          <w:sz w:val="20"/>
          <w:szCs w:val="20"/>
        </w:rPr>
        <w:t xml:space="preserve">), la notion de scape reste trop marquée par le régime </w:t>
      </w:r>
      <w:proofErr w:type="spellStart"/>
      <w:r w:rsidRPr="001B51A7">
        <w:rPr>
          <w:sz w:val="20"/>
          <w:szCs w:val="20"/>
        </w:rPr>
        <w:t>scopique</w:t>
      </w:r>
      <w:proofErr w:type="spellEnd"/>
      <w:r w:rsidRPr="001B51A7">
        <w:rPr>
          <w:sz w:val="20"/>
          <w:szCs w:val="20"/>
        </w:rPr>
        <w:t> ; et sans doute l’insert de la composante de « </w:t>
      </w:r>
      <w:proofErr w:type="spellStart"/>
      <w:r w:rsidRPr="001B51A7">
        <w:rPr>
          <w:sz w:val="20"/>
          <w:szCs w:val="20"/>
        </w:rPr>
        <w:t>task</w:t>
      </w:r>
      <w:proofErr w:type="spellEnd"/>
      <w:r w:rsidRPr="001B51A7">
        <w:rPr>
          <w:sz w:val="20"/>
          <w:szCs w:val="20"/>
        </w:rPr>
        <w:t xml:space="preserve"> » visait elle à miner cette puissance du </w:t>
      </w:r>
      <w:proofErr w:type="spellStart"/>
      <w:r w:rsidRPr="001B51A7">
        <w:rPr>
          <w:sz w:val="20"/>
          <w:szCs w:val="20"/>
        </w:rPr>
        <w:t>scopique</w:t>
      </w:r>
      <w:proofErr w:type="spellEnd"/>
      <w:r w:rsidRPr="001B51A7">
        <w:rPr>
          <w:sz w:val="20"/>
          <w:szCs w:val="20"/>
        </w:rPr>
        <w:t>. Quitte à ce qu’il admette (</w:t>
      </w:r>
      <w:proofErr w:type="spellStart"/>
      <w:r w:rsidRPr="001B51A7">
        <w:rPr>
          <w:sz w:val="20"/>
          <w:szCs w:val="20"/>
        </w:rPr>
        <w:t>ibid</w:t>
      </w:r>
      <w:proofErr w:type="spellEnd"/>
      <w:r w:rsidRPr="001B51A7">
        <w:rPr>
          <w:sz w:val="20"/>
          <w:szCs w:val="20"/>
        </w:rPr>
        <w:t>, p 133, note 3) le caractère « </w:t>
      </w:r>
      <w:proofErr w:type="spellStart"/>
      <w:r w:rsidRPr="001B51A7">
        <w:rPr>
          <w:sz w:val="20"/>
          <w:szCs w:val="20"/>
        </w:rPr>
        <w:t>awkward</w:t>
      </w:r>
      <w:proofErr w:type="spellEnd"/>
      <w:r w:rsidRPr="001B51A7">
        <w:rPr>
          <w:sz w:val="20"/>
          <w:szCs w:val="20"/>
        </w:rPr>
        <w:t> » du concept proposé ... Il nous semble cependant que le « en » de l’</w:t>
      </w:r>
      <w:r w:rsidRPr="00490F3B">
        <w:rPr>
          <w:b/>
          <w:sz w:val="20"/>
          <w:szCs w:val="20"/>
        </w:rPr>
        <w:t>en</w:t>
      </w:r>
      <w:r w:rsidRPr="001B51A7">
        <w:rPr>
          <w:sz w:val="20"/>
          <w:szCs w:val="20"/>
        </w:rPr>
        <w:t xml:space="preserve"> paysage est (à la réserve </w:t>
      </w:r>
      <w:r>
        <w:rPr>
          <w:sz w:val="20"/>
          <w:szCs w:val="20"/>
        </w:rPr>
        <w:t xml:space="preserve">près </w:t>
      </w:r>
      <w:r w:rsidRPr="001B51A7">
        <w:rPr>
          <w:sz w:val="20"/>
          <w:szCs w:val="20"/>
        </w:rPr>
        <w:t xml:space="preserve">du mot) affine avec l’ontologie qu’il propose dans le reste de son </w:t>
      </w:r>
      <w:proofErr w:type="spellStart"/>
      <w:r w:rsidRPr="001B51A7">
        <w:rPr>
          <w:sz w:val="20"/>
          <w:szCs w:val="20"/>
        </w:rPr>
        <w:t>oeuvre</w:t>
      </w:r>
      <w:proofErr w:type="spellEnd"/>
      <w:r w:rsidRPr="001B51A7">
        <w:rPr>
          <w:sz w:val="20"/>
          <w:szCs w:val="20"/>
        </w:rPr>
        <w:t xml:space="preserve">. </w:t>
      </w:r>
    </w:p>
    <w:p w14:paraId="3CEF7D51" w14:textId="0F6D7A05" w:rsidR="00637777" w:rsidRPr="001B51A7" w:rsidRDefault="00637777">
      <w:pPr>
        <w:pStyle w:val="Notedebasdepage"/>
        <w:rPr>
          <w:sz w:val="20"/>
          <w:szCs w:val="20"/>
        </w:rPr>
      </w:pPr>
    </w:p>
  </w:footnote>
  <w:footnote w:id="7">
    <w:p w14:paraId="2D3D6623" w14:textId="51F8352A" w:rsidR="00637777" w:rsidRPr="001B51A7" w:rsidRDefault="00637777" w:rsidP="003B2508">
      <w:pPr>
        <w:pStyle w:val="Notedebasdepage"/>
        <w:rPr>
          <w:sz w:val="20"/>
          <w:szCs w:val="20"/>
        </w:rPr>
      </w:pPr>
      <w:r w:rsidRPr="001B51A7">
        <w:rPr>
          <w:rStyle w:val="Marquenotebasdepage"/>
          <w:sz w:val="20"/>
          <w:szCs w:val="20"/>
        </w:rPr>
        <w:footnoteRef/>
      </w:r>
      <w:r w:rsidRPr="001B51A7">
        <w:rPr>
          <w:sz w:val="20"/>
          <w:szCs w:val="20"/>
        </w:rPr>
        <w:t xml:space="preserve"> </w:t>
      </w:r>
      <w:proofErr w:type="spellStart"/>
      <w:r>
        <w:rPr>
          <w:sz w:val="20"/>
          <w:szCs w:val="20"/>
        </w:rPr>
        <w:t>Erving</w:t>
      </w:r>
      <w:proofErr w:type="spellEnd"/>
      <w:r>
        <w:rPr>
          <w:sz w:val="20"/>
          <w:szCs w:val="20"/>
        </w:rPr>
        <w:t xml:space="preserve"> Goffman, </w:t>
      </w:r>
      <w:proofErr w:type="spellStart"/>
      <w:r w:rsidRPr="0045300C">
        <w:rPr>
          <w:i/>
          <w:sz w:val="20"/>
          <w:szCs w:val="20"/>
        </w:rPr>
        <w:t>Encounters</w:t>
      </w:r>
      <w:proofErr w:type="spellEnd"/>
      <w:r w:rsidRPr="0045300C">
        <w:rPr>
          <w:i/>
          <w:sz w:val="20"/>
          <w:szCs w:val="20"/>
        </w:rPr>
        <w:t xml:space="preserve"> : </w:t>
      </w:r>
      <w:proofErr w:type="spellStart"/>
      <w:r w:rsidRPr="0045300C">
        <w:rPr>
          <w:i/>
          <w:sz w:val="20"/>
          <w:szCs w:val="20"/>
        </w:rPr>
        <w:t>Two</w:t>
      </w:r>
      <w:proofErr w:type="spellEnd"/>
      <w:r w:rsidRPr="0045300C">
        <w:rPr>
          <w:i/>
          <w:sz w:val="20"/>
          <w:szCs w:val="20"/>
        </w:rPr>
        <w:t xml:space="preserve"> </w:t>
      </w:r>
      <w:proofErr w:type="spellStart"/>
      <w:r w:rsidRPr="0045300C">
        <w:rPr>
          <w:i/>
          <w:sz w:val="20"/>
          <w:szCs w:val="20"/>
        </w:rPr>
        <w:t>Studies</w:t>
      </w:r>
      <w:proofErr w:type="spellEnd"/>
      <w:r w:rsidRPr="0045300C">
        <w:rPr>
          <w:i/>
          <w:sz w:val="20"/>
          <w:szCs w:val="20"/>
        </w:rPr>
        <w:t xml:space="preserve"> in the </w:t>
      </w:r>
      <w:proofErr w:type="spellStart"/>
      <w:r w:rsidRPr="0045300C">
        <w:rPr>
          <w:i/>
          <w:sz w:val="20"/>
          <w:szCs w:val="20"/>
        </w:rPr>
        <w:t>Sociology</w:t>
      </w:r>
      <w:proofErr w:type="spellEnd"/>
      <w:r w:rsidRPr="0045300C">
        <w:rPr>
          <w:i/>
          <w:sz w:val="20"/>
          <w:szCs w:val="20"/>
        </w:rPr>
        <w:t xml:space="preserve"> of Interaction</w:t>
      </w:r>
      <w:r>
        <w:rPr>
          <w:sz w:val="20"/>
          <w:szCs w:val="20"/>
        </w:rPr>
        <w:t>,</w:t>
      </w:r>
      <w:r w:rsidRPr="001B51A7">
        <w:rPr>
          <w:sz w:val="20"/>
          <w:szCs w:val="20"/>
        </w:rPr>
        <w:t xml:space="preserve"> </w:t>
      </w:r>
      <w:r>
        <w:rPr>
          <w:sz w:val="20"/>
          <w:szCs w:val="20"/>
        </w:rPr>
        <w:t>Indi</w:t>
      </w:r>
      <w:r w:rsidRPr="001B51A7">
        <w:rPr>
          <w:sz w:val="20"/>
          <w:szCs w:val="20"/>
        </w:rPr>
        <w:t xml:space="preserve">ana Polis ; Bob- </w:t>
      </w:r>
      <w:proofErr w:type="spellStart"/>
      <w:r w:rsidRPr="001B51A7">
        <w:rPr>
          <w:sz w:val="20"/>
          <w:szCs w:val="20"/>
        </w:rPr>
        <w:t>Merill</w:t>
      </w:r>
      <w:proofErr w:type="spellEnd"/>
      <w:r w:rsidRPr="001B51A7">
        <w:rPr>
          <w:sz w:val="20"/>
          <w:szCs w:val="20"/>
        </w:rPr>
        <w:t xml:space="preserve"> </w:t>
      </w:r>
      <w:proofErr w:type="spellStart"/>
      <w:r w:rsidRPr="001B51A7">
        <w:rPr>
          <w:sz w:val="20"/>
          <w:szCs w:val="20"/>
        </w:rPr>
        <w:t>Company</w:t>
      </w:r>
      <w:proofErr w:type="spellEnd"/>
      <w:r w:rsidRPr="001B51A7">
        <w:rPr>
          <w:sz w:val="20"/>
          <w:szCs w:val="20"/>
        </w:rPr>
        <w:t xml:space="preserve">, 1961. </w:t>
      </w:r>
    </w:p>
  </w:footnote>
  <w:footnote w:id="8">
    <w:p w14:paraId="5954AB4F" w14:textId="77777777" w:rsidR="00637777" w:rsidRPr="001B51A7" w:rsidRDefault="00637777" w:rsidP="00941A6A">
      <w:pPr>
        <w:pStyle w:val="Notedebasdepage"/>
        <w:rPr>
          <w:sz w:val="20"/>
          <w:szCs w:val="20"/>
        </w:rPr>
      </w:pPr>
      <w:r w:rsidRPr="001B51A7">
        <w:rPr>
          <w:rStyle w:val="Marquenotebasdepage"/>
          <w:sz w:val="20"/>
          <w:szCs w:val="20"/>
        </w:rPr>
        <w:footnoteRef/>
      </w:r>
      <w:r w:rsidRPr="001B51A7">
        <w:rPr>
          <w:sz w:val="20"/>
          <w:szCs w:val="20"/>
        </w:rPr>
        <w:t xml:space="preserve"> L’étymologie du mot flèche vers l’italien « </w:t>
      </w:r>
      <w:proofErr w:type="spellStart"/>
      <w:r w:rsidRPr="001B51A7">
        <w:rPr>
          <w:sz w:val="20"/>
          <w:szCs w:val="20"/>
        </w:rPr>
        <w:t>all’erta</w:t>
      </w:r>
      <w:proofErr w:type="spellEnd"/>
      <w:r w:rsidRPr="001B51A7">
        <w:rPr>
          <w:sz w:val="20"/>
          <w:szCs w:val="20"/>
        </w:rPr>
        <w:t> », c’est à dire sur la hauteur (d’où l’on peut  guetter) ; son usage adjectival signale des qualités de promptitude de vivacité.</w:t>
      </w:r>
    </w:p>
  </w:footnote>
  <w:footnote w:id="9">
    <w:p w14:paraId="203CCFD7" w14:textId="6297E857" w:rsidR="00637777" w:rsidRDefault="00637777" w:rsidP="00941A6A">
      <w:pPr>
        <w:pStyle w:val="Notedebasdepage"/>
      </w:pPr>
      <w:r w:rsidRPr="001B51A7">
        <w:rPr>
          <w:rStyle w:val="Marquenotebasdepage"/>
          <w:sz w:val="20"/>
          <w:szCs w:val="20"/>
        </w:rPr>
        <w:footnoteRef/>
      </w:r>
      <w:r w:rsidRPr="001B51A7">
        <w:rPr>
          <w:sz w:val="20"/>
          <w:szCs w:val="20"/>
        </w:rPr>
        <w:t xml:space="preserve"> Nous sommes redevables ici aux travaux de Vincent </w:t>
      </w:r>
      <w:proofErr w:type="spellStart"/>
      <w:r w:rsidRPr="001B51A7">
        <w:rPr>
          <w:sz w:val="20"/>
          <w:szCs w:val="20"/>
        </w:rPr>
        <w:t>Descombes</w:t>
      </w:r>
      <w:proofErr w:type="spellEnd"/>
      <w:r w:rsidRPr="001B51A7">
        <w:rPr>
          <w:sz w:val="20"/>
          <w:szCs w:val="20"/>
        </w:rPr>
        <w:t xml:space="preserve">. </w:t>
      </w:r>
      <w:r>
        <w:rPr>
          <w:sz w:val="20"/>
          <w:szCs w:val="20"/>
        </w:rPr>
        <w:t xml:space="preserve">Voir : Vincent </w:t>
      </w:r>
      <w:proofErr w:type="spellStart"/>
      <w:r>
        <w:rPr>
          <w:sz w:val="20"/>
          <w:szCs w:val="20"/>
        </w:rPr>
        <w:t>Descombes</w:t>
      </w:r>
      <w:proofErr w:type="spellEnd"/>
      <w:r>
        <w:rPr>
          <w:sz w:val="20"/>
          <w:szCs w:val="20"/>
        </w:rPr>
        <w:t xml:space="preserve">, </w:t>
      </w:r>
      <w:r w:rsidRPr="0045300C">
        <w:rPr>
          <w:i/>
          <w:sz w:val="20"/>
          <w:szCs w:val="20"/>
        </w:rPr>
        <w:t>Le complément de sujet</w:t>
      </w:r>
      <w:r w:rsidRPr="001B51A7">
        <w:rPr>
          <w:sz w:val="20"/>
          <w:szCs w:val="20"/>
        </w:rPr>
        <w:t>. Paris. Gallimard. 2004.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508"/>
    <w:rsid w:val="000817CF"/>
    <w:rsid w:val="001B51A7"/>
    <w:rsid w:val="002A6BD4"/>
    <w:rsid w:val="002B0759"/>
    <w:rsid w:val="002C6163"/>
    <w:rsid w:val="002D5B17"/>
    <w:rsid w:val="003B2508"/>
    <w:rsid w:val="003C7090"/>
    <w:rsid w:val="003C7F41"/>
    <w:rsid w:val="003E5932"/>
    <w:rsid w:val="004221FA"/>
    <w:rsid w:val="0045300C"/>
    <w:rsid w:val="00490F3B"/>
    <w:rsid w:val="004C79F5"/>
    <w:rsid w:val="00637777"/>
    <w:rsid w:val="00801B81"/>
    <w:rsid w:val="00902D3F"/>
    <w:rsid w:val="00941A6A"/>
    <w:rsid w:val="00944D3E"/>
    <w:rsid w:val="00966E09"/>
    <w:rsid w:val="00974987"/>
    <w:rsid w:val="00AB5E8B"/>
    <w:rsid w:val="00C946B7"/>
    <w:rsid w:val="00CA5ECD"/>
    <w:rsid w:val="00CC24B3"/>
    <w:rsid w:val="00D72D8F"/>
    <w:rsid w:val="00DA581B"/>
    <w:rsid w:val="00FB74E0"/>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64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5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3B2508"/>
    <w:pPr>
      <w:spacing w:after="0"/>
    </w:pPr>
  </w:style>
  <w:style w:type="character" w:customStyle="1" w:styleId="NotedebasdepageCar">
    <w:name w:val="Note de bas de page Car"/>
    <w:basedOn w:val="Policepardfaut"/>
    <w:link w:val="Notedebasdepage"/>
    <w:rsid w:val="003B2508"/>
  </w:style>
  <w:style w:type="character" w:styleId="Marquenotebasdepage">
    <w:name w:val="footnote reference"/>
    <w:basedOn w:val="Policepardfaut"/>
    <w:unhideWhenUsed/>
    <w:rsid w:val="003B250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5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3B2508"/>
    <w:pPr>
      <w:spacing w:after="0"/>
    </w:pPr>
  </w:style>
  <w:style w:type="character" w:customStyle="1" w:styleId="NotedebasdepageCar">
    <w:name w:val="Note de bas de page Car"/>
    <w:basedOn w:val="Policepardfaut"/>
    <w:link w:val="Notedebasdepage"/>
    <w:rsid w:val="003B2508"/>
  </w:style>
  <w:style w:type="character" w:styleId="Marquenotebasdepage">
    <w:name w:val="footnote reference"/>
    <w:basedOn w:val="Policepardfaut"/>
    <w:unhideWhenUsed/>
    <w:rsid w:val="003B25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6</Pages>
  <Words>3104</Words>
  <Characters>15677</Characters>
  <Application>Microsoft Macintosh Word</Application>
  <DocSecurity>0</DocSecurity>
  <Lines>237</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Samuel Bordreuil</dc:creator>
  <cp:keywords/>
  <dc:description/>
  <cp:lastModifiedBy>Jean Samuel Bordreuil</cp:lastModifiedBy>
  <cp:revision>5</cp:revision>
  <dcterms:created xsi:type="dcterms:W3CDTF">2014-10-30T13:28:00Z</dcterms:created>
  <dcterms:modified xsi:type="dcterms:W3CDTF">2014-11-06T17:03:00Z</dcterms:modified>
</cp:coreProperties>
</file>